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875—173.36</w:t>
      </w:r>
      <w:r>
        <w:rPr>
          <w:rFonts w:ascii="Times New Roman" w:hAnsi="Times New Roman"/>
          <w:b/>
          <w:i w:val="false"/>
          <w:color w:val="000000"/>
          <w:sz w:val="22"/>
        </w:rPr>
        <w:t xml:space="preserve">(90A) </w:t>
      </w:r>
      <w:r>
        <w:rPr>
          <w:rFonts w:ascii="Times New Roman" w:hAnsi="Times New Roman"/>
          <w:b/>
          <w:i w:val="false"/>
          <w:color w:val="000000"/>
          <w:sz w:val="22"/>
        </w:rPr>
        <w:t xml:space="preserve">Shaking hands. </w:t>
      </w:r>
      <w:r>
        <w:rPr>
          <w:rFonts w:ascii="Times New Roman" w:hAnsi="Times New Roman"/>
          <w:b w:val="false"/>
          <w:i w:val="false"/>
          <w:color w:val="000000"/>
          <w:sz w:val="22"/>
        </w:rPr>
        <w:t>The contestants in all boxing bouts will be instructed by the referee to shake hands after the referee’s final instructions and not to do so again until the start of the last scheduled round.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