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875—173.34</w:t>
      </w:r>
      <w:r>
        <w:rPr>
          <w:rFonts w:ascii="Times New Roman" w:hAnsi="Times New Roman"/>
          <w:b/>
          <w:i w:val="false"/>
          <w:color w:val="000000"/>
          <w:sz w:val="22"/>
        </w:rPr>
        <w:t xml:space="preserve">(90A) </w:t>
      </w:r>
      <w:r>
        <w:rPr>
          <w:rFonts w:ascii="Times New Roman" w:hAnsi="Times New Roman"/>
          <w:b/>
          <w:i w:val="false"/>
          <w:color w:val="000000"/>
          <w:sz w:val="22"/>
        </w:rPr>
        <w:t xml:space="preserve">Reasons for stopping bout. </w:t>
      </w:r>
      <w:r>
        <w:rPr>
          <w:rFonts w:ascii="Times New Roman" w:hAnsi="Times New Roman"/>
          <w:b w:val="false"/>
          <w:i w:val="false"/>
          <w:color w:val="000000"/>
          <w:sz w:val="22"/>
        </w:rPr>
        <w:t>The referee shall stop a bout when the referee deems it advisable because of the physical condition of one or both of the contestants, when one of the contestants is clearly outclassed by an opponent, when the referee decides that the best effort is not being made by a contestant, or for any other reason the referee deems sufficient.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