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875—173.3</w:t>
      </w:r>
      <w:r>
        <w:rPr>
          <w:rFonts w:ascii="Times New Roman" w:hAnsi="Times New Roman"/>
          <w:b/>
          <w:i w:val="false"/>
          <w:color w:val="000000"/>
          <w:sz w:val="22"/>
        </w:rPr>
        <w:t xml:space="preserve">(90A) </w:t>
      </w:r>
      <w:r>
        <w:rPr>
          <w:rFonts w:ascii="Times New Roman" w:hAnsi="Times New Roman"/>
          <w:b/>
          <w:i w:val="false"/>
          <w:color w:val="000000"/>
          <w:sz w:val="22"/>
        </w:rPr>
        <w:t xml:space="preserve">Injury. </w:t>
      </w:r>
      <w:r>
        <w:rPr>
          <w:rFonts w:ascii="Times New Roman" w:hAnsi="Times New Roman"/>
          <w:b w:val="false"/>
          <w:i w:val="false"/>
          <w:color w:val="000000"/>
          <w:sz w:val="22"/>
        </w:rPr>
        <w:t>If a contestant claims to be injured during the bout, the referee shall stop the bout and request that the attending physician make an examination. If the physician decides that the contestant has been injured as the result of a foul, the physician shall advise the referee of the injury. If the physician is of the opinion that the injured contestant may be able to continue, the physician shall order a five-minute intermission, after which the physician shall make another examination and again advise the referee of the injured contestant’s condition. It is the duty of the promoter to have an approved physician in attendance during the entire duration of all bouts.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