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875—173.26</w:t>
      </w:r>
      <w:r>
        <w:rPr>
          <w:rFonts w:ascii="Times New Roman" w:hAnsi="Times New Roman"/>
          <w:b/>
          <w:i w:val="false"/>
          <w:color w:val="000000"/>
          <w:sz w:val="22"/>
        </w:rPr>
        <w:t xml:space="preserve">(90A) </w:t>
      </w:r>
      <w:r>
        <w:rPr>
          <w:rFonts w:ascii="Times New Roman" w:hAnsi="Times New Roman"/>
          <w:b/>
          <w:i w:val="false"/>
          <w:color w:val="000000"/>
          <w:sz w:val="22"/>
        </w:rPr>
        <w:t xml:space="preserve">Ring posts. </w:t>
      </w:r>
      <w:r>
        <w:rPr>
          <w:rFonts w:ascii="Times New Roman" w:hAnsi="Times New Roman"/>
          <w:b w:val="false"/>
          <w:i w:val="false"/>
          <w:color w:val="000000"/>
          <w:sz w:val="22"/>
        </w:rPr>
        <w:t>The ring posts will be constructed of metal not more than 4 inches in diameter, extend from the floor of the building to the height of 58 inches above the ring floor and be fastened securely to the floor or to the other posts.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