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875—173.20</w:t>
      </w:r>
      <w:r>
        <w:rPr>
          <w:rFonts w:ascii="Times New Roman" w:hAnsi="Times New Roman"/>
          <w:b/>
          <w:i w:val="false"/>
          <w:color w:val="000000"/>
          <w:sz w:val="22"/>
        </w:rPr>
        <w:t xml:space="preserve">(90A) </w:t>
      </w:r>
      <w:r>
        <w:rPr>
          <w:rFonts w:ascii="Times New Roman" w:hAnsi="Times New Roman"/>
          <w:b/>
          <w:i w:val="false"/>
          <w:color w:val="000000"/>
          <w:sz w:val="22"/>
        </w:rPr>
        <w:t xml:space="preserve">Excessive coaching. </w:t>
      </w:r>
      <w:r>
        <w:rPr>
          <w:rFonts w:ascii="Times New Roman" w:hAnsi="Times New Roman"/>
          <w:b w:val="false"/>
          <w:i w:val="false"/>
          <w:color w:val="000000"/>
          <w:sz w:val="22"/>
        </w:rPr>
        <w:t>Excessive coaching and other detracting activities by seconds, managers or trainers while the bouts are in progress are prohibited. Offenders will be warned and if the violation continues, the offending contestant may be charged with a foul and a loss of points.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