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Weight restrictions.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Permission must be received from the commissioner before a contestant will be permitted to box an opponent 18 pounds heavier than the boxer in the welterweight or middleweight classes or 6 pounds heavier than the boxer in or under the lightweight class.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