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875—173.18</w:t>
      </w:r>
      <w:r>
        <w:rPr>
          <w:rFonts w:ascii="Times New Roman" w:hAnsi="Times New Roman"/>
          <w:b/>
          <w:i w:val="false"/>
          <w:color w:val="000000"/>
          <w:sz w:val="22"/>
        </w:rPr>
        <w:t xml:space="preserve">(90A) </w:t>
      </w:r>
      <w:r>
        <w:rPr>
          <w:rFonts w:ascii="Times New Roman" w:hAnsi="Times New Roman"/>
          <w:b/>
          <w:i w:val="false"/>
          <w:color w:val="000000"/>
          <w:sz w:val="22"/>
        </w:rPr>
        <w:t xml:space="preserve">Weighing of contestants. </w:t>
      </w:r>
      <w:r>
        <w:rPr>
          <w:rFonts w:ascii="Times New Roman" w:hAnsi="Times New Roman"/>
          <w:b w:val="false"/>
          <w:i w:val="false"/>
          <w:color w:val="000000"/>
          <w:sz w:val="22"/>
        </w:rPr>
        <w:t>Contestants shall be weighed and examined on the day of the scheduled match by the attending ring physician, at a time and place as allowed by the commissioner. Preliminary boxers may be allowed to weigh in and be examined not later than one hour before the scheduled time of the first match on the card. All weigh-ins will be conducted with the boxer stripped.</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