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Attendance of commissioner.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each boxing card, the commissioner or the commissioner’s designee shall be in attendance.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