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Foul.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activities will be deemed a foul: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Hitting below the belt or after the bell has ended the round.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Hitting an opponent who is down or who is getting up after being down.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Holding an opponent or deliberately maintaining a clinch.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Holding an opponent with one hand and hitting with the other hand.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Butting with head or shoulders or using the knee.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Hitting with inside or butt of the hand, the wrist or the elbow and all backhand blows.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Hitting or “flicking” with the open glove or thumbing.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Wrestling or roughing at the ropes.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Purposely going down without being hit.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Striking deliberately at that part of the body over the kidneys.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Use of the pivot blow or rabbit punch.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Use of abusive or profane language.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obey the referee, or any physical actions that may injure a contestant, except by fair sportsmanlike boxing.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