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Evaluation.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grantee shall cooperate with the commissioner and periodically provide requested information to determine how the goals and objectives of the project are being met.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