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875—171.3</w:t>
      </w:r>
      <w:r>
        <w:rPr>
          <w:rFonts w:ascii="Times New Roman" w:hAnsi="Times New Roman"/>
          <w:b/>
          <w:i w:val="false"/>
          <w:color w:val="000000"/>
          <w:sz w:val="22"/>
        </w:rPr>
        <w:t xml:space="preserve">(90A) </w:t>
      </w:r>
      <w:r>
        <w:rPr>
          <w:rFonts w:ascii="Times New Roman" w:hAnsi="Times New Roman"/>
          <w:b/>
          <w:i w:val="false"/>
          <w:color w:val="000000"/>
          <w:sz w:val="22"/>
        </w:rPr>
        <w:t xml:space="preserve">Grant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171.3(1)</w:t>
      </w:r>
      <w:r>
        <w:rPr>
          <w:rFonts w:ascii="Times New Roman" w:hAnsi="Times New Roman"/>
          <w:b w:val="false"/>
          <w:i w:val="false"/>
          <w:color w:val="000000"/>
          <w:sz w:val="22"/>
        </w:rPr>
        <w:t> </w:t>
      </w:r>
      <w:r>
        <w:rPr>
          <w:rFonts w:ascii="Times New Roman" w:hAnsi="Times New Roman"/>
          <w:b w:val="false"/>
          <w:i w:val="false"/>
          <w:color w:val="000000"/>
          <w:sz w:val="22"/>
        </w:rPr>
        <w:t>The commissioner shall notify successful applicants and provide to each of them a contract for signature. This contract shall be signed by an official with authority to bind the applicant and be returned to the commissioner prior to the award of any funds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171.3(2)</w:t>
      </w:r>
      <w:r>
        <w:rPr>
          <w:rFonts w:ascii="Times New Roman" w:hAnsi="Times New Roman"/>
          <w:b w:val="false"/>
          <w:i w:val="false"/>
          <w:color w:val="000000"/>
          <w:sz w:val="22"/>
        </w:rPr>
        <w:t> </w:t>
      </w:r>
      <w:r>
        <w:rPr>
          <w:rFonts w:ascii="Times New Roman" w:hAnsi="Times New Roman"/>
          <w:b w:val="false"/>
          <w:i w:val="false"/>
          <w:color w:val="000000"/>
          <w:sz w:val="22"/>
        </w:rPr>
        <w:t>If the applicant and the commissioner are unable to successfully negotiate a contract, the commissioner may withdraw the award offer.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171.3(3)</w:t>
      </w:r>
      <w:r>
        <w:rPr>
          <w:rFonts w:ascii="Times New Roman" w:hAnsi="Times New Roman"/>
          <w:b w:val="false"/>
          <w:i w:val="false"/>
          <w:color w:val="000000"/>
          <w:sz w:val="22"/>
        </w:rPr>
        <w:t> </w:t>
      </w:r>
      <w:r>
        <w:rPr>
          <w:rFonts w:ascii="Times New Roman" w:hAnsi="Times New Roman"/>
          <w:b w:val="false"/>
          <w:i w:val="false"/>
          <w:color w:val="000000"/>
          <w:sz w:val="22"/>
        </w:rPr>
        <w:t>Applications shall be received by May 1 of each calendar year for an award the following fiscal year. Payment will be processed within 60 days of a grant award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171.3(4)</w:t>
      </w:r>
      <w:r>
        <w:rPr>
          <w:rFonts w:ascii="Times New Roman" w:hAnsi="Times New Roman"/>
          <w:b w:val="false"/>
          <w:i w:val="false"/>
          <w:color w:val="000000"/>
          <w:sz w:val="22"/>
        </w:rPr>
        <w:t> </w:t>
      </w:r>
      <w:r>
        <w:rPr>
          <w:rFonts w:ascii="Times New Roman" w:hAnsi="Times New Roman"/>
          <w:b w:val="false"/>
          <w:i w:val="false"/>
          <w:color w:val="000000"/>
          <w:sz w:val="22"/>
        </w:rPr>
        <w:t>Grants are awarded for a 12-month period and may be renewed for a second year.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