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 shall announce the opening of the application process by public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amateur boxing organizations seeking grant funds must submit an application to the commissioner on forms provided by the commissioner.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Contents. Each application shall contain: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plan of action that details how the awarded funds will be spent and what results and benefits are expected. The action plan includes: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Grant goals, objectives, timeliness, responsible individuals, and evaluation.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Establishing an end result that is beneficial to the sport of amateur boxing.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projected amateur boxing matches to be promoted by the applicant.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budget detailing how the grant funds will be expended.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Assurances the applicant will comply with the conditions and procedures for grant administration.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plan for evaluation.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Assurances the funds will not be used to retire preexisting financial obligations.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Assurances the applicant will comply with the conditions for financial management.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