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875—169.4</w:t>
      </w:r>
      <w:r>
        <w:rPr>
          <w:rFonts w:ascii="Times New Roman" w:hAnsi="Times New Roman"/>
          <w:b/>
          <w:i w:val="false"/>
          <w:color w:val="000000"/>
          <w:sz w:val="22"/>
        </w:rPr>
        <w:t xml:space="preserve">(90A) </w:t>
      </w:r>
      <w:r>
        <w:rPr>
          <w:rFonts w:ascii="Times New Roman" w:hAnsi="Times New Roman"/>
          <w:b/>
          <w:i w:val="false"/>
          <w:color w:val="000000"/>
          <w:sz w:val="22"/>
        </w:rPr>
        <w:t xml:space="preserve">Advance notice of event. </w:t>
      </w:r>
      <w:r>
        <w:rPr>
          <w:rFonts w:ascii="Times New Roman" w:hAnsi="Times New Roman"/>
          <w:b w:val="false"/>
          <w:i w:val="false"/>
          <w:color w:val="000000"/>
          <w:sz w:val="22"/>
        </w:rPr>
        <w:t>A promoter shall submit advance notice of an event, other than a professional wrestling event, to the commissioner on the form provided by the commissioner at least 60 days prior to the event but not more than six months prior to the event. The advance notice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169.4(2)</w:t>
      </w:r>
      <w:r>
        <w:rPr>
          <w:rFonts w:ascii="Times New Roman" w:hAnsi="Times New Roman"/>
          <w:b w:val="false"/>
          <w:i w:val="false"/>
          <w:color w:val="000000"/>
          <w:sz w:val="22"/>
        </w:rPr>
        <w:t> </w:t>
      </w:r>
      <w:r>
        <w:rPr>
          <w:rFonts w:ascii="Times New Roman" w:hAnsi="Times New Roman"/>
          <w:b w:val="false"/>
          <w:i w:val="false"/>
          <w:color w:val="000000"/>
          <w:sz w:val="22"/>
        </w:rPr>
        <w:t>The promoter’s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169.4(4)</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169.4(5)</w:t>
      </w:r>
      <w:r>
        <w:rPr>
          <w:rFonts w:ascii="Times New Roman" w:hAnsi="Times New Roman"/>
          <w:b w:val="false"/>
          <w:i w:val="false"/>
          <w:color w:val="000000"/>
          <w:sz w:val="22"/>
        </w:rPr>
        <w:t> </w:t>
      </w:r>
      <w:r>
        <w:rPr>
          <w:rFonts w:ascii="Times New Roman" w:hAnsi="Times New Roman"/>
          <w:b w:val="false"/>
          <w:i w:val="false"/>
          <w:color w:val="000000"/>
          <w:sz w:val="22"/>
        </w:rPr>
        <w:t>Other relevant information requested by the commissioner on the form.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