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875—155.5</w:t>
      </w:r>
      <w:r>
        <w:rPr>
          <w:rFonts w:ascii="Times New Roman" w:hAnsi="Times New Roman"/>
          <w:b/>
          <w:i w:val="false"/>
          <w:color w:val="000000"/>
          <w:sz w:val="22"/>
        </w:rPr>
        <w:t xml:space="preserve">(88B) </w:t>
      </w:r>
      <w:r>
        <w:rPr>
          <w:rFonts w:ascii="Times New Roman" w:hAnsi="Times New Roman"/>
          <w:b/>
          <w:i w:val="false"/>
          <w:color w:val="000000"/>
          <w:sz w:val="22"/>
        </w:rPr>
        <w:t xml:space="preserve">Ten-day 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Permittees shall notify the department at least ten working days before an asbestos project begins. A project begins when site preparations for asbestos abatement, encapsulation, or removal begin; when asbestos abatement, encapsulation, or removal begins; or when any demolition begins, whichever is soonest. Legible electronic transmissions of ten-day notices in the proper format will be accepted. If work on the asbestos-removal project does not commence within 30 calendar days of the original start date identified in the ten-day notice given by permittees to the department, a revised ten-day notice shall be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155.5(2)</w:t>
      </w:r>
      <w:r>
        <w:rPr>
          <w:rFonts w:ascii="Times New Roman" w:hAnsi="Times New Roman"/>
          <w:b w:val="false"/>
          <w:i w:val="false"/>
          <w:color w:val="000000"/>
          <w:sz w:val="22"/>
        </w:rPr>
        <w:t> </w:t>
      </w:r>
      <w:r>
        <w:rPr>
          <w:rFonts w:ascii="Times New Roman" w:hAnsi="Times New Roman"/>
          <w:b w:val="false"/>
          <w:i/>
          <w:color w:val="000000"/>
          <w:sz w:val="22"/>
        </w:rPr>
        <w:t xml:space="preserve">Emergency. </w:t>
      </w:r>
      <w:r>
        <w:rPr>
          <w:rFonts w:ascii="Times New Roman" w:hAnsi="Times New Roman"/>
          <w:b w:val="false"/>
          <w:i w:val="false"/>
          <w:color w:val="000000"/>
          <w:sz w:val="22"/>
        </w:rPr>
        <w:t>When there is an immediate danger to life, health or property, the permittee may file the notice within five days after beginning the project. An explanation of the emergency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155.5(3)</w:t>
      </w:r>
      <w:r>
        <w:rPr>
          <w:rFonts w:ascii="Times New Roman" w:hAnsi="Times New Roman"/>
          <w:b w:val="false"/>
          <w:i w:val="false"/>
          <w:color w:val="000000"/>
          <w:sz w:val="22"/>
        </w:rPr>
        <w:t> </w:t>
      </w:r>
      <w:r>
        <w:rPr>
          <w:rFonts w:ascii="Times New Roman" w:hAnsi="Times New Roman"/>
          <w:b w:val="false"/>
          <w:i/>
          <w:color w:val="000000"/>
          <w:sz w:val="22"/>
        </w:rPr>
        <w:t xml:space="preserve">Format. </w:t>
      </w:r>
      <w:r>
        <w:rPr>
          <w:rFonts w:ascii="Times New Roman" w:hAnsi="Times New Roman"/>
          <w:b w:val="false"/>
          <w:i w:val="false"/>
          <w:color w:val="000000"/>
          <w:sz w:val="22"/>
        </w:rPr>
        <w:t>The notice shall be submitted online or be on an 8½″ by 11″ sheet of paper and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 contact person for the permittee performing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structure and work to be performed, including type and quantity of asbestos-containing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scheduled dates of the project’s start and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Designation of the asbestos disposal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signature and printed name of the person who completed the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shift or work schedule on which the project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155.5(4)</w:t>
      </w:r>
      <w:r>
        <w:rPr>
          <w:rFonts w:ascii="Times New Roman" w:hAnsi="Times New Roman"/>
          <w:b w:val="false"/>
          <w:i w:val="false"/>
          <w:color w:val="000000"/>
          <w:sz w:val="22"/>
        </w:rPr>
        <w:t> </w:t>
      </w:r>
      <w:r>
        <w:rPr>
          <w:rFonts w:ascii="Times New Roman" w:hAnsi="Times New Roman"/>
          <w:b w:val="false"/>
          <w:i/>
          <w:color w:val="000000"/>
          <w:sz w:val="22"/>
        </w:rPr>
        <w:t xml:space="preserve">Disaster emergency proclamations. </w:t>
      </w:r>
      <w:r>
        <w:rPr>
          <w:rFonts w:ascii="Times New Roman" w:hAnsi="Times New Roman"/>
          <w:b w:val="false"/>
          <w:i w:val="false"/>
          <w:color w:val="000000"/>
          <w:sz w:val="22"/>
        </w:rPr>
        <w:t xml:space="preserve">For structures that are both located in an area that is subject to a disaster emergency proclamation pursuant to Iowa Code section </w:t>
      </w:r>
      <w:hyperlink r:id="rId4">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damaged by circumstances related to those that caused the disaster emergency proclamation, the permittee shall file the notice described by this rule as early as possible, but not later than the working day following the initiation of the project. A description of the disaster and the disaster emergency proclamation shall be included in the notice.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8834C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9C.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