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875—155.4</w:t>
      </w:r>
      <w:r>
        <w:rPr>
          <w:rFonts w:ascii="Times New Roman" w:hAnsi="Times New Roman"/>
          <w:b/>
          <w:i w:val="false"/>
          <w:color w:val="000000"/>
          <w:sz w:val="22"/>
        </w:rPr>
        <w:t xml:space="preserve">(88B) </w:t>
      </w:r>
      <w:r>
        <w:rPr>
          <w:rFonts w:ascii="Times New Roman" w:hAnsi="Times New Roman"/>
          <w:b/>
          <w:i w:val="false"/>
          <w:color w:val="000000"/>
          <w:sz w:val="22"/>
        </w:rPr>
        <w:t xml:space="preserve">Asbestos project records. </w:t>
      </w:r>
      <w:r>
        <w:rPr>
          <w:rFonts w:ascii="Times New Roman" w:hAnsi="Times New Roman"/>
          <w:b w:val="false"/>
          <w:i w:val="false"/>
          <w:color w:val="000000"/>
          <w:sz w:val="22"/>
        </w:rPr>
        <w:t>The permittee shall keep a record of each asbestos project it performs and make the record available to the department at any reasonable time. Records required by this rule shall be kept for at least six years.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individual who supervised the asbestos project and of each employee or agent who worked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The location and a description of the project and the amount of asbestos material that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each instance of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155.4(4)</w:t>
      </w:r>
      <w:r>
        <w:rPr>
          <w:rFonts w:ascii="Times New Roman" w:hAnsi="Times New Roman"/>
          <w:b w:val="false"/>
          <w:i w:val="false"/>
          <w:color w:val="000000"/>
          <w:sz w:val="22"/>
        </w:rPr>
        <w:t> </w:t>
      </w:r>
      <w:r>
        <w:rPr>
          <w:rFonts w:ascii="Times New Roman" w:hAnsi="Times New Roman"/>
          <w:b w:val="false"/>
          <w:i w:val="false"/>
          <w:color w:val="000000"/>
          <w:sz w:val="22"/>
        </w:rPr>
        <w:t>A summary of the procedures that were used to comply with all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asbestos disposal site where the asbestos-containing waste was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155.4(6)</w:t>
      </w:r>
      <w:r>
        <w:rPr>
          <w:rFonts w:ascii="Times New Roman" w:hAnsi="Times New Roman"/>
          <w:b w:val="false"/>
          <w:i w:val="false"/>
          <w:color w:val="000000"/>
          <w:sz w:val="22"/>
        </w:rPr>
        <w:t> </w:t>
      </w:r>
      <w:r>
        <w:rPr>
          <w:rFonts w:ascii="Times New Roman" w:hAnsi="Times New Roman"/>
          <w:b w:val="false"/>
          <w:i w:val="false"/>
          <w:color w:val="000000"/>
          <w:sz w:val="22"/>
        </w:rPr>
        <w:t>A receipt from the asbestos disposal site indicating the amount of asbestos and disposal date.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