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875—150.6</w:t>
      </w:r>
      <w:r>
        <w:rPr>
          <w:rFonts w:ascii="Times New Roman" w:hAnsi="Times New Roman"/>
          <w:b/>
          <w:i w:val="false"/>
          <w:color w:val="000000"/>
          <w:sz w:val="22"/>
        </w:rPr>
        <w:t xml:space="preserve">(91C) </w:t>
      </w:r>
      <w:r>
        <w:rPr>
          <w:rFonts w:ascii="Times New Roman" w:hAnsi="Times New Roman"/>
          <w:b/>
          <w:i w:val="false"/>
          <w:color w:val="000000"/>
          <w:sz w:val="22"/>
        </w:rPr>
        <w:t xml:space="preserve">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150.6(1)</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w:t>
      </w:r>
      <w:r>
        <w:rPr>
          <w:rFonts w:ascii="Times New Roman" w:hAnsi="Times New Roman"/>
          <w:b w:val="false"/>
          <w:i w:val="false"/>
          <w:color w:val="000000"/>
          <w:sz w:val="22"/>
        </w:rPr>
        <w:t>A new application deposited in the U.S. mail must include the fee effective on the date the application is postmarked. A new application delivered in any other manner must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applications. </w:t>
      </w:r>
      <w:r>
        <w:rPr>
          <w:rFonts w:ascii="Times New Roman" w:hAnsi="Times New Roman"/>
          <w:b w:val="false"/>
          <w:i w:val="false"/>
          <w:color w:val="000000"/>
          <w:sz w:val="22"/>
        </w:rPr>
        <w:t>A timely renewal application shall include the fee effective on the expiration date of the contractor’s expiring registration. An application for renewal deposited in the U.S. mail after the expiration date of the contractor’s expiring registration shall include the fee effective on the date the application is postmarked. An application for renewal delivered to the department in a manner other than U.S. mail and after the expiration date of the contractor’s expiring registration shall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150.6(3)</w:t>
      </w:r>
      <w:r>
        <w:rPr>
          <w:rFonts w:ascii="Times New Roman" w:hAnsi="Times New Roman"/>
          <w:b w:val="false"/>
          <w:i w:val="false"/>
          <w:color w:val="000000"/>
          <w:sz w:val="22"/>
        </w:rPr>
        <w:t> </w:t>
      </w:r>
      <w:r>
        <w:rPr>
          <w:rFonts w:ascii="Times New Roman" w:hAnsi="Times New Roman"/>
          <w:b w:val="false"/>
          <w:i/>
          <w:color w:val="000000"/>
          <w:sz w:val="22"/>
        </w:rPr>
        <w:t xml:space="preserve">Amendments to applications. </w:t>
      </w:r>
      <w:r>
        <w:rPr>
          <w:rFonts w:ascii="Times New Roman" w:hAnsi="Times New Roman"/>
          <w:b w:val="false"/>
          <w:i w:val="false"/>
          <w:color w:val="000000"/>
          <w:sz w:val="22"/>
        </w:rPr>
        <w:t>A fee is not required for a permissible amendment to an application.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