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875—150.5</w:t>
      </w:r>
      <w:r>
        <w:rPr>
          <w:rFonts w:ascii="Times New Roman" w:hAnsi="Times New Roman"/>
          <w:b/>
          <w:i w:val="false"/>
          <w:color w:val="000000"/>
          <w:sz w:val="22"/>
        </w:rPr>
        <w:t xml:space="preserve">(91C) </w:t>
      </w:r>
      <w:r>
        <w:rPr>
          <w:rFonts w:ascii="Times New Roman" w:hAnsi="Times New Roman"/>
          <w:b/>
          <w:i w:val="false"/>
          <w:color w:val="000000"/>
          <w:sz w:val="22"/>
        </w:rPr>
        <w:t xml:space="preserve">Amendments to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150.5(1)</w:t>
      </w:r>
      <w:r>
        <w:rPr>
          <w:rFonts w:ascii="Times New Roman" w:hAnsi="Times New Roman"/>
          <w:b w:val="false"/>
          <w:i w:val="false"/>
          <w:color w:val="000000"/>
          <w:sz w:val="22"/>
        </w:rPr>
        <w:t> </w:t>
      </w:r>
      <w:r>
        <w:rPr>
          <w:rFonts w:ascii="Times New Roman" w:hAnsi="Times New Roman"/>
          <w:b w:val="false"/>
          <w:i w:val="false"/>
          <w:color w:val="000000"/>
          <w:sz w:val="22"/>
        </w:rPr>
        <w:t>A contractor shall report to the director any change in the information originally reported on or with the application within 15 working days of the change, except that the contractor shall notify the director of changes to workers’ compensation coverage within ten days prior to any change in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time specified in subrule </w:t>
      </w:r>
      <w:r>
        <w:rPr>
          <w:rFonts w:ascii="Times New Roman" w:hAnsi="Times New Roman"/>
          <w:b w:val="false"/>
          <w:i w:val="false"/>
          <w:color w:val="000000"/>
          <w:sz w:val="22"/>
        </w:rPr>
        <w:t>150.5(1)</w:t>
      </w:r>
      <w:r>
        <w:rPr>
          <w:rFonts w:ascii="Times New Roman" w:hAnsi="Times New Roman"/>
          <w:b w:val="false"/>
          <w:i w:val="false"/>
          <w:color w:val="000000"/>
          <w:sz w:val="22"/>
        </w:rPr>
        <w:t>, with good cause shown, the director may determine that an amendment may be made to correct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150.5(3)</w:t>
      </w:r>
      <w:r>
        <w:rPr>
          <w:rFonts w:ascii="Times New Roman" w:hAnsi="Times New Roman"/>
          <w:b w:val="false"/>
          <w:i w:val="false"/>
          <w:color w:val="000000"/>
          <w:sz w:val="22"/>
        </w:rPr>
        <w:t> </w:t>
      </w:r>
      <w:r>
        <w:rPr>
          <w:rFonts w:ascii="Times New Roman" w:hAnsi="Times New Roman"/>
          <w:b w:val="false"/>
          <w:i w:val="false"/>
          <w:color w:val="000000"/>
          <w:sz w:val="22"/>
        </w:rPr>
        <w:t>Amendments to applications are not permitted where a change occurs in the business classification, such as but not limited to a change from a sole proprietorship to a corporation.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