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875—150.4</w:t>
      </w:r>
      <w:r>
        <w:rPr>
          <w:rFonts w:ascii="Times New Roman" w:hAnsi="Times New Roman"/>
          <w:b/>
          <w:i w:val="false"/>
          <w:color w:val="000000"/>
          <w:sz w:val="22"/>
        </w:rPr>
        <w:t xml:space="preserve">(91C) </w:t>
      </w:r>
      <w:r>
        <w:rPr>
          <w:rFonts w:ascii="Times New Roman" w:hAnsi="Times New Roman"/>
          <w:b/>
          <w:i w:val="false"/>
          <w:color w:val="000000"/>
          <w:sz w:val="22"/>
        </w:rPr>
        <w:t xml:space="preserve">Application. </w:t>
      </w:r>
      <w:r>
        <w:rPr>
          <w:rFonts w:ascii="Times New Roman" w:hAnsi="Times New Roman"/>
          <w:b w:val="false"/>
          <w:i w:val="false"/>
          <w:color w:val="000000"/>
          <w:sz w:val="22"/>
        </w:rPr>
        <w:t xml:space="preserve">A contractor that is covered by the license requirements of Iowa Code chapter </w:t>
      </w:r>
      <w:hyperlink r:id="rId4">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 xml:space="preserve"> applies for a contractor registration number by using the application system of the Iowa plumbing and mechanical systems board. All other contractors file an application with the department on forms provided by the department. The application contains the applicable information and documents specified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150.4(1)</w:t>
      </w:r>
      <w:r>
        <w:rPr>
          <w:rFonts w:ascii="Times New Roman" w:hAnsi="Times New Roman"/>
          <w:b w:val="false"/>
          <w:i w:val="false"/>
          <w:color w:val="000000"/>
          <w:sz w:val="22"/>
        </w:rPr>
        <w:t> </w:t>
      </w:r>
      <w:r>
        <w:rPr>
          <w:rFonts w:ascii="Times New Roman" w:hAnsi="Times New Roman"/>
          <w:b w:val="false"/>
          <w:i/>
          <w:color w:val="000000"/>
          <w:sz w:val="22"/>
        </w:rPr>
        <w:t xml:space="preserve">Name. </w:t>
      </w:r>
      <w:r>
        <w:rPr>
          <w:rFonts w:ascii="Times New Roman" w:hAnsi="Times New Roman"/>
          <w:b w:val="false"/>
          <w:i w:val="false"/>
          <w:color w:val="000000"/>
          <w:sz w:val="22"/>
        </w:rPr>
        <w:t>The name of the contractor.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150.4(2)</w:t>
      </w:r>
      <w:r>
        <w:rPr>
          <w:rFonts w:ascii="Times New Roman" w:hAnsi="Times New Roman"/>
          <w:b w:val="false"/>
          <w:i w:val="false"/>
          <w:color w:val="000000"/>
          <w:sz w:val="22"/>
        </w:rPr>
        <w:t> </w:t>
      </w:r>
      <w:r>
        <w:rPr>
          <w:rFonts w:ascii="Times New Roman" w:hAnsi="Times New Roman"/>
          <w:b w:val="false"/>
          <w:i/>
          <w:color w:val="000000"/>
          <w:sz w:val="22"/>
        </w:rPr>
        <w:t xml:space="preserve">Place of business. </w:t>
      </w:r>
      <w:r>
        <w:rPr>
          <w:rFonts w:ascii="Times New Roman" w:hAnsi="Times New Roman"/>
          <w:b w:val="false"/>
          <w:i w:val="false"/>
          <w:color w:val="000000"/>
          <w:sz w:val="22"/>
        </w:rPr>
        <w:t>The complete mailing address of the principal place of business of the contractor.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150.4(3)</w:t>
      </w:r>
      <w:r>
        <w:rPr>
          <w:rFonts w:ascii="Times New Roman" w:hAnsi="Times New Roman"/>
          <w:b w:val="false"/>
          <w:i w:val="false"/>
          <w:color w:val="000000"/>
          <w:sz w:val="22"/>
        </w:rPr>
        <w:t> </w:t>
      </w:r>
      <w:r>
        <w:rPr>
          <w:rFonts w:ascii="Times New Roman" w:hAnsi="Times New Roman"/>
          <w:b w:val="false"/>
          <w:i/>
          <w:color w:val="000000"/>
          <w:sz w:val="22"/>
        </w:rPr>
        <w:t xml:space="preserve">Telephone number. </w:t>
      </w:r>
      <w:r>
        <w:rPr>
          <w:rFonts w:ascii="Times New Roman" w:hAnsi="Times New Roman"/>
          <w:b w:val="false"/>
          <w:i w:val="false"/>
          <w:color w:val="000000"/>
          <w:sz w:val="22"/>
        </w:rPr>
        <w:t>The business telephone number of the contractor.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150.4(4)</w:t>
      </w:r>
      <w:r>
        <w:rPr>
          <w:rFonts w:ascii="Times New Roman" w:hAnsi="Times New Roman"/>
          <w:b w:val="false"/>
          <w:i w:val="false"/>
          <w:color w:val="000000"/>
          <w:sz w:val="22"/>
        </w:rPr>
        <w:t> </w:t>
      </w:r>
      <w:r>
        <w:rPr>
          <w:rFonts w:ascii="Times New Roman" w:hAnsi="Times New Roman"/>
          <w:b w:val="false"/>
          <w:i/>
          <w:color w:val="000000"/>
          <w:sz w:val="22"/>
        </w:rPr>
        <w:t xml:space="preserve">Business classification. </w:t>
      </w:r>
      <w:r>
        <w:rPr>
          <w:rFonts w:ascii="Times New Roman" w:hAnsi="Times New Roman"/>
          <w:b w:val="false"/>
          <w:i w:val="false"/>
          <w:color w:val="000000"/>
          <w:sz w:val="22"/>
        </w:rPr>
        <w:t>The type of business entity of the contractor (e.g., corporation, partnership, sole proprietorship, trust, etc.).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150.4(5)</w:t>
      </w:r>
      <w:r>
        <w:rPr>
          <w:rFonts w:ascii="Times New Roman" w:hAnsi="Times New Roman"/>
          <w:b w:val="false"/>
          <w:i w:val="false"/>
          <w:color w:val="000000"/>
          <w:sz w:val="22"/>
        </w:rPr>
        <w:t> </w:t>
      </w:r>
      <w:r>
        <w:rPr>
          <w:rFonts w:ascii="Times New Roman" w:hAnsi="Times New Roman"/>
          <w:b w:val="false"/>
          <w:i/>
          <w:color w:val="000000"/>
          <w:sz w:val="22"/>
        </w:rPr>
        <w:t xml:space="preserve">Ownership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contractor is a corporation, the name, address, telephone number, and position of each officer of the corporation.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contractor is other than a corporation, the name, address, and telephone number of each owner.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150.4(6)</w:t>
      </w:r>
      <w:r>
        <w:rPr>
          <w:rFonts w:ascii="Times New Roman" w:hAnsi="Times New Roman"/>
          <w:b w:val="false"/>
          <w:i w:val="false"/>
          <w:color w:val="000000"/>
          <w:sz w:val="22"/>
        </w:rPr>
        <w:t> </w:t>
      </w:r>
      <w:r>
        <w:rPr>
          <w:rFonts w:ascii="Times New Roman" w:hAnsi="Times New Roman"/>
          <w:b w:val="false"/>
          <w:i/>
          <w:color w:val="000000"/>
          <w:sz w:val="22"/>
        </w:rPr>
        <w:t xml:space="preserve">Workers’ compensation coverage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certificate of insurance from the insurer showing proof of workers’ compensation insurance, the effective dates of coverage, and listing the department of inspections, appeals, and licensing as a certificate holder;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Employer’s release from the insurance requirements under workers’ compensation law form provided to self-insured employers by the commissioner of insurance under Iowa Code section </w:t>
      </w:r>
      <w:hyperlink r:id="rId5">
        <w:r>
          <w:rPr>
            <w:rStyle w:val="Hyperlink"/>
            <w:rFonts w:ascii="Times New Roman" w:hAnsi="Times New Roman"/>
            <w:b w:val="false"/>
            <w:i w:val="false"/>
            <w:color w:val="000000"/>
            <w:sz w:val="22"/>
          </w:rPr>
          <w:t>87.11</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statement that the contractor is not required to carry workers’ compensation coverage.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150.4(7)</w:t>
      </w:r>
      <w:r>
        <w:rPr>
          <w:rFonts w:ascii="Times New Roman" w:hAnsi="Times New Roman"/>
          <w:b w:val="false"/>
          <w:i w:val="false"/>
          <w:color w:val="000000"/>
          <w:sz w:val="22"/>
        </w:rPr>
        <w:t> </w:t>
      </w:r>
      <w:r>
        <w:rPr>
          <w:rFonts w:ascii="Times New Roman" w:hAnsi="Times New Roman"/>
          <w:b w:val="false"/>
          <w:i/>
          <w:color w:val="000000"/>
          <w:sz w:val="22"/>
        </w:rPr>
        <w:t xml:space="preserve">Account number. </w:t>
      </w:r>
      <w:r>
        <w:rPr>
          <w:rFonts w:ascii="Times New Roman" w:hAnsi="Times New Roman"/>
          <w:b w:val="false"/>
          <w:i w:val="false"/>
          <w:color w:val="000000"/>
          <w:sz w:val="22"/>
        </w:rPr>
        <w:t>The employer account number issued by the unemployment insurance services division of the workforce development department before the contractor applies for a contractor registration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150.4(8)</w:t>
      </w:r>
      <w:r>
        <w:rPr>
          <w:rFonts w:ascii="Times New Roman" w:hAnsi="Times New Roman"/>
          <w:b w:val="false"/>
          <w:i w:val="false"/>
          <w:color w:val="000000"/>
          <w:sz w:val="22"/>
        </w:rPr>
        <w:t> </w:t>
      </w:r>
      <w:r>
        <w:rPr>
          <w:rFonts w:ascii="Times New Roman" w:hAnsi="Times New Roman"/>
          <w:b w:val="false"/>
          <w:i/>
          <w:color w:val="000000"/>
          <w:sz w:val="22"/>
        </w:rPr>
        <w:t xml:space="preserve">Business description. </w:t>
      </w:r>
      <w:r>
        <w:rPr>
          <w:rFonts w:ascii="Times New Roman" w:hAnsi="Times New Roman"/>
          <w:b w:val="false"/>
          <w:i w:val="false"/>
          <w:color w:val="000000"/>
          <w:sz w:val="22"/>
        </w:rPr>
        <w:t>A description of the business to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employer’s North American Industry Classification System (NAICS) code;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principal products and services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150.4(9)</w:t>
      </w:r>
      <w:r>
        <w:rPr>
          <w:rFonts w:ascii="Times New Roman" w:hAnsi="Times New Roman"/>
          <w:b w:val="false"/>
          <w:i w:val="false"/>
          <w:color w:val="000000"/>
          <w:sz w:val="22"/>
        </w:rPr>
        <w:t> </w:t>
      </w:r>
      <w:r>
        <w:rPr>
          <w:rFonts w:ascii="Times New Roman" w:hAnsi="Times New Roman"/>
          <w:b w:val="false"/>
          <w:i/>
          <w:color w:val="000000"/>
          <w:sz w:val="22"/>
        </w:rPr>
        <w:t xml:space="preserve">Fee or fee exemption. </w:t>
      </w:r>
      <w:r>
        <w:rPr>
          <w:rFonts w:ascii="Times New Roman" w:hAnsi="Times New Roman"/>
          <w:b w:val="false"/>
          <w:i w:val="false"/>
          <w:color w:val="000000"/>
          <w:sz w:val="22"/>
        </w:rPr>
        <w:t>A contractor who is eligible to register without paying a fee shall submit a completed fee exemption form. All other contractors must submit the nonrefundable fee as set forth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standard fee is $50 per year or $150 for a three-year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Contractors who apply for a contractor registration number through the Iowa plumbing and mechanical systems board must pay a fee that is prorated in accordance with the length of the registration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150.4(10)</w:t>
      </w:r>
      <w:r>
        <w:rPr>
          <w:rFonts w:ascii="Times New Roman" w:hAnsi="Times New Roman"/>
          <w:b w:val="false"/>
          <w:i w:val="false"/>
          <w:color w:val="000000"/>
          <w:sz w:val="22"/>
        </w:rPr>
        <w:t> </w:t>
      </w:r>
      <w:r>
        <w:rPr>
          <w:rFonts w:ascii="Times New Roman" w:hAnsi="Times New Roman"/>
          <w:b w:val="false"/>
          <w:i/>
          <w:color w:val="000000"/>
          <w:sz w:val="22"/>
        </w:rPr>
        <w:t xml:space="preserve">Social security number. </w:t>
      </w:r>
      <w:r>
        <w:rPr>
          <w:rFonts w:ascii="Times New Roman" w:hAnsi="Times New Roman"/>
          <w:b w:val="false"/>
          <w:i w:val="false"/>
          <w:color w:val="000000"/>
          <w:sz w:val="22"/>
        </w:rPr>
        <w:t>The contractor, if a natural person, shall include the contractor’s social security number.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150.4(11)</w:t>
      </w:r>
      <w:r>
        <w:rPr>
          <w:rFonts w:ascii="Times New Roman" w:hAnsi="Times New Roman"/>
          <w:b w:val="false"/>
          <w:i w:val="false"/>
          <w:color w:val="000000"/>
          <w:sz w:val="22"/>
        </w:rPr>
        <w:t> </w:t>
      </w:r>
      <w:r>
        <w:rPr>
          <w:rFonts w:ascii="Times New Roman" w:hAnsi="Times New Roman"/>
          <w:b w:val="false"/>
          <w:i/>
          <w:color w:val="000000"/>
          <w:sz w:val="22"/>
        </w:rPr>
        <w:t xml:space="preserve">Out-of-state contractor bond. </w:t>
      </w:r>
      <w:r>
        <w:rPr>
          <w:rFonts w:ascii="Times New Roman" w:hAnsi="Times New Roman"/>
          <w:b w:val="false"/>
          <w:i w:val="false"/>
          <w:color w:val="000000"/>
          <w:sz w:val="22"/>
        </w:rPr>
        <w:t>An out-of-state contractor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File a $25,000 surety bond that is prepared using the bond form provided by the department,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 a copy of a letter from the department of transportation stating that the contractor is prequalified to bid on projects for the department of transportation pursuant to Iowa Code section </w:t>
      </w:r>
      <w:hyperlink r:id="rId6">
        <w:r>
          <w:rPr>
            <w:rStyle w:val="Hyperlink"/>
            <w:rFonts w:ascii="Times New Roman" w:hAnsi="Times New Roman"/>
            <w:b w:val="false"/>
            <w:i w:val="false"/>
            <w:color w:val="000000"/>
            <w:sz w:val="22"/>
          </w:rPr>
          <w:t>314.1</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8833C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05.pdf" Type="http://schemas.openxmlformats.org/officeDocument/2006/relationships/hyperlink" Id="rId4"/>
    <Relationship TargetMode="External" Target="https://www.legis.iowa.gov/docs/ico/chapter/87.pdf" Type="http://schemas.openxmlformats.org/officeDocument/2006/relationships/hyperlink" Id="rId5"/>
    <Relationship TargetMode="External" Target="https://www.legis.iowa.gov/docs/ico/chapter/314.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