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875—150.2</w:t>
      </w:r>
      <w:r>
        <w:rPr>
          <w:rFonts w:ascii="Times New Roman" w:hAnsi="Times New Roman"/>
          <w:b/>
          <w:i w:val="false"/>
          <w:color w:val="000000"/>
          <w:sz w:val="22"/>
        </w:rPr>
        <w:t xml:space="preserve">(91C) </w:t>
      </w:r>
      <w:r>
        <w:rPr>
          <w:rFonts w:ascii="Times New Roman" w:hAnsi="Times New Roman"/>
          <w:b/>
          <w:i w:val="false"/>
          <w:color w:val="000000"/>
          <w:sz w:val="22"/>
        </w:rPr>
        <w:t xml:space="preserve">Definitions. </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“Construction” </w:t>
      </w:r>
      <w:r>
        <w:rPr>
          <w:rFonts w:ascii="Times New Roman" w:hAnsi="Times New Roman"/>
          <w:b w:val="false"/>
          <w:i w:val="false"/>
          <w:color w:val="000000"/>
          <w:sz w:val="22"/>
        </w:rPr>
        <w:t xml:space="preserve">means new work, additions, alterations, reconstruction, installations, repairs and demolitions. Construction activities are generally administered or managed from a relatively fixed place of business, but the actual construction work is performed at one or more different sites that may be dispersed geographically. Examples of construction activities, adopted by reference, are in rule </w:t>
      </w:r>
      <w:hyperlink r:id="rId4">
        <w:r>
          <w:rPr>
            <w:rStyle w:val="Hyperlink"/>
            <w:rFonts w:ascii="Times New Roman" w:hAnsi="Times New Roman"/>
            <w:b w:val="false"/>
            <w:i w:val="false"/>
            <w:color w:val="000000"/>
            <w:sz w:val="22"/>
          </w:rPr>
          <w:t>871—23.82</w:t>
        </w:r>
      </w:hyperlink>
      <w:r>
        <w:rPr>
          <w:rFonts w:ascii="Times New Roman" w:hAnsi="Times New Roman"/>
          <w:b w:val="false"/>
          <w:i w:val="false"/>
          <w:color w:val="000000"/>
          <w:sz w:val="22"/>
        </w:rPr>
        <w:t>(96) for purposes of the Iowa employment security law.</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“Contractor” </w:t>
      </w:r>
      <w:r>
        <w:rPr>
          <w:rFonts w:ascii="Times New Roman" w:hAnsi="Times New Roman"/>
          <w:b w:val="false"/>
          <w:i w:val="false"/>
          <w:color w:val="000000"/>
          <w:sz w:val="22"/>
        </w:rPr>
        <w:t xml:space="preserve">means a person who engages in the business of construction as the term is defined in rule </w:t>
      </w:r>
      <w:hyperlink r:id="rId5">
        <w:r>
          <w:rPr>
            <w:rStyle w:val="Hyperlink"/>
            <w:rFonts w:ascii="Times New Roman" w:hAnsi="Times New Roman"/>
            <w:b w:val="false"/>
            <w:i w:val="false"/>
            <w:color w:val="000000"/>
            <w:sz w:val="22"/>
          </w:rPr>
          <w:t>871—23.82</w:t>
        </w:r>
      </w:hyperlink>
      <w:r>
        <w:rPr>
          <w:rFonts w:ascii="Times New Roman" w:hAnsi="Times New Roman"/>
          <w:b w:val="false"/>
          <w:i w:val="false"/>
          <w:color w:val="000000"/>
          <w:sz w:val="22"/>
        </w:rPr>
        <w:t>(96), for purposes of the Iowa employment security law, including subcontractors and special trade contractors.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inspections, appeals, and licensing.</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 of inspections, appeals, and licensing or the director’s designee.</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“File” </w:t>
      </w:r>
      <w:r>
        <w:rPr>
          <w:rFonts w:ascii="Times New Roman" w:hAnsi="Times New Roman"/>
          <w:b w:val="false"/>
          <w:i w:val="false"/>
          <w:color w:val="000000"/>
          <w:sz w:val="22"/>
        </w:rPr>
        <w:t>means deliver to the department.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“Out-of-state contractor” </w:t>
      </w:r>
      <w:r>
        <w:rPr>
          <w:rFonts w:ascii="Times New Roman" w:hAnsi="Times New Roman"/>
          <w:b w:val="false"/>
          <w:i w:val="false"/>
          <w:color w:val="000000"/>
          <w:sz w:val="22"/>
        </w:rPr>
        <w:t>means a contractor whose principal place of business is in another state, and who contracts to perform construction in this state.</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“Principal place of business” </w:t>
      </w:r>
      <w:r>
        <w:rPr>
          <w:rFonts w:ascii="Times New Roman" w:hAnsi="Times New Roman"/>
          <w:b w:val="false"/>
          <w:i w:val="false"/>
          <w:color w:val="000000"/>
          <w:sz w:val="22"/>
        </w:rPr>
        <w:t>means the state in which a substantial part of the contractor’s business is transacted and from which the centralized supervision is exercised. Factors to be reviewed include:</w:t>
      </w:r>
    </w:p>
    <w:p>
      <w:pPr>
        <w:spacing w:before="0" w:after="0"/>
        <w:ind w:left="120"/>
        <w:jc w:val="left"/>
      </w:pPr>
      <w:r>
        <w:rPr>
          <w:rFonts w:ascii="Times New Roman" w:hAnsi="Times New Roman"/>
          <w:b w:val="false"/>
          <w:i w:val="false"/>
          <w:color w:val="000000"/>
          <w:sz w:val="22"/>
        </w:rPr>
        <w:t>     1.   </w:t>
      </w:r>
      <w:r>
        <w:rPr>
          <w:rFonts w:ascii="Times New Roman" w:hAnsi="Times New Roman"/>
          <w:b w:val="false"/>
          <w:i w:val="false"/>
          <w:color w:val="000000"/>
          <w:sz w:val="22"/>
        </w:rPr>
        <w:t>State designated as home office on documents filed with governmental agencies.</w:t>
      </w:r>
    </w:p>
    <w:p>
      <w:pPr>
        <w:spacing w:before="0" w:after="0"/>
        <w:ind w:left="120"/>
        <w:jc w:val="left"/>
      </w:pPr>
      <w:r>
        <w:rPr>
          <w:rFonts w:ascii="Times New Roman" w:hAnsi="Times New Roman"/>
          <w:b w:val="false"/>
          <w:i w:val="false"/>
          <w:color w:val="000000"/>
          <w:sz w:val="22"/>
        </w:rPr>
        <w:t>     2.   </w:t>
      </w:r>
      <w:r>
        <w:rPr>
          <w:rFonts w:ascii="Times New Roman" w:hAnsi="Times New Roman"/>
          <w:b w:val="false"/>
          <w:i w:val="false"/>
          <w:color w:val="000000"/>
          <w:sz w:val="22"/>
        </w:rPr>
        <w:t>State where payroll is prepared.</w:t>
      </w:r>
    </w:p>
    <w:p>
      <w:pPr>
        <w:spacing w:before="0" w:after="0"/>
        <w:ind w:left="120"/>
        <w:jc w:val="left"/>
      </w:pPr>
      <w:r>
        <w:rPr>
          <w:rFonts w:ascii="Times New Roman" w:hAnsi="Times New Roman"/>
          <w:b w:val="false"/>
          <w:i w:val="false"/>
          <w:color w:val="000000"/>
          <w:sz w:val="22"/>
        </w:rPr>
        <w:t>     3.   </w:t>
      </w:r>
      <w:r>
        <w:rPr>
          <w:rFonts w:ascii="Times New Roman" w:hAnsi="Times New Roman"/>
          <w:b w:val="false"/>
          <w:i w:val="false"/>
          <w:color w:val="000000"/>
          <w:sz w:val="22"/>
        </w:rPr>
        <w:t>State where business transactions are performed.</w:t>
      </w:r>
    </w:p>
    <w:p>
      <w:pPr>
        <w:spacing w:before="0" w:after="0"/>
        <w:ind w:left="120"/>
        <w:jc w:val="left"/>
      </w:pPr>
      <w:r>
        <w:rPr>
          <w:rFonts w:ascii="Times New Roman" w:hAnsi="Times New Roman"/>
          <w:b w:val="false"/>
          <w:i w:val="false"/>
          <w:color w:val="000000"/>
          <w:sz w:val="22"/>
        </w:rPr>
        <w:t>     4.   </w:t>
      </w:r>
      <w:r>
        <w:rPr>
          <w:rFonts w:ascii="Times New Roman" w:hAnsi="Times New Roman"/>
          <w:b w:val="false"/>
          <w:i w:val="false"/>
          <w:color w:val="000000"/>
          <w:sz w:val="22"/>
        </w:rPr>
        <w:t>State where officers, owners, or partners reside and work.</w:t>
      </w:r>
    </w:p>
    <w:p>
      <w:pPr>
        <w:spacing w:before="0" w:after="0"/>
        <w:ind w:left="120"/>
        <w:jc w:val="left"/>
      </w:pPr>
      <w:r>
        <w:rPr>
          <w:rFonts w:ascii="Times New Roman" w:hAnsi="Times New Roman"/>
          <w:b w:val="false"/>
          <w:i w:val="false"/>
          <w:color w:val="000000"/>
          <w:sz w:val="22"/>
        </w:rPr>
        <w:t>     5.   </w:t>
      </w:r>
      <w:r>
        <w:rPr>
          <w:rFonts w:ascii="Times New Roman" w:hAnsi="Times New Roman"/>
          <w:b w:val="false"/>
          <w:i w:val="false"/>
          <w:color w:val="000000"/>
          <w:sz w:val="22"/>
        </w:rPr>
        <w:t>State in which bank accounts are located.</w:t>
      </w:r>
    </w:p>
    <w:p>
      <w:pPr>
        <w:spacing w:before="0" w:after="0"/>
        <w:ind w:left="120"/>
        <w:jc w:val="left"/>
      </w:pPr>
      <w:r>
        <w:rPr>
          <w:rFonts w:ascii="Times New Roman" w:hAnsi="Times New Roman"/>
          <w:b w:val="false"/>
          <w:i w:val="false"/>
          <w:color w:val="000000"/>
          <w:sz w:val="22"/>
        </w:rPr>
        <w:t>     6.   </w:t>
      </w:r>
      <w:r>
        <w:rPr>
          <w:rFonts w:ascii="Times New Roman" w:hAnsi="Times New Roman"/>
          <w:b w:val="false"/>
          <w:i w:val="false"/>
          <w:color w:val="000000"/>
          <w:sz w:val="22"/>
        </w:rPr>
        <w:t>State in which fixed business property is located.</w:t>
      </w:r>
    </w:p>
    <w:p>
      <w:pPr>
        <w:spacing w:before="0" w:after="0"/>
        <w:ind w:left="120"/>
        <w:jc w:val="left"/>
      </w:pPr>
      <w:r>
        <w:rPr>
          <w:rFonts w:ascii="Times New Roman" w:hAnsi="Times New Roman"/>
          <w:b w:val="false"/>
          <w:i w:val="false"/>
          <w:color w:val="000000"/>
          <w:sz w:val="22"/>
        </w:rPr>
        <w:t>     7.   </w:t>
      </w:r>
      <w:r>
        <w:rPr>
          <w:rFonts w:ascii="Times New Roman" w:hAnsi="Times New Roman"/>
          <w:b w:val="false"/>
          <w:i w:val="false"/>
          <w:color w:val="000000"/>
          <w:sz w:val="22"/>
        </w:rPr>
        <w:t>State where management decisions are made.</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“Same phase of construction” </w:t>
      </w:r>
      <w:r>
        <w:rPr>
          <w:rFonts w:ascii="Times New Roman" w:hAnsi="Times New Roman"/>
          <w:b w:val="false"/>
          <w:i w:val="false"/>
          <w:color w:val="000000"/>
          <w:sz w:val="22"/>
        </w:rPr>
        <w:t>means in the same type of construction operations or trade, such as but not limited to electrical work; masonry, stonework, tile setting and plastering; roofing; sheet metal work; excavation work; concrete work; glasswork; painting, paper hanging and decorating; plumbing, heating and air conditioning work; carpentry work; and miscellaneous special trade contractors.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“Working days” </w:t>
      </w:r>
      <w:r>
        <w:rPr>
          <w:rFonts w:ascii="Times New Roman" w:hAnsi="Times New Roman"/>
          <w:b w:val="false"/>
          <w:i w:val="false"/>
          <w:color w:val="000000"/>
          <w:sz w:val="22"/>
        </w:rPr>
        <w:t>means Mondays through Fridays but not Saturdays, Sundays or federal or state holidays. In computing 15 working days, the day of receipt of any notice is not to be included, and the last day of the 15 working days is included.</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8833C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871.23.82.pdf" Type="http://schemas.openxmlformats.org/officeDocument/2006/relationships/hyperlink" Id="rId4"/>
    <Relationship TargetMode="External" Target="https://www.legis.iowa.gov/docs/iac/rule/871.23.82.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