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875—150.13</w:t>
      </w:r>
      <w:r>
        <w:rPr>
          <w:rFonts w:ascii="Times New Roman" w:hAnsi="Times New Roman"/>
          <w:b/>
          <w:i w:val="false"/>
          <w:color w:val="000000"/>
          <w:sz w:val="22"/>
        </w:rPr>
        <w:t xml:space="preserve">(91C)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150.13(1)</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r>
        <w:rPr>
          <w:rFonts w:ascii="Times New Roman" w:hAnsi="Times New Roman"/>
          <w:b w:val="false"/>
          <w:i w:val="false"/>
          <w:color w:val="000000"/>
          <w:sz w:val="22"/>
        </w:rPr>
        <w:t>Prior to releasing a bond, the director will notify the department of revenue, the unemployment insurance services division of the workforce development department, and applicable state subdivisions of the intent to release the bond. The director shall provide ten days for the filing of objections to the release of the bond. The director may deem any failure to respond to the notice within the time provided as an approval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150.13(2)</w:t>
      </w:r>
      <w:r>
        <w:rPr>
          <w:rFonts w:ascii="Times New Roman" w:hAnsi="Times New Roman"/>
          <w:b w:val="false"/>
          <w:i w:val="false"/>
          <w:color w:val="000000"/>
          <w:sz w:val="22"/>
        </w:rPr>
        <w:t> </w:t>
      </w:r>
      <w:r>
        <w:rPr>
          <w:rFonts w:ascii="Times New Roman" w:hAnsi="Times New Roman"/>
          <w:b w:val="false"/>
          <w:i/>
          <w:color w:val="000000"/>
          <w:sz w:val="22"/>
        </w:rPr>
        <w:t xml:space="preserve">Conditions for release. </w:t>
      </w:r>
      <w:r>
        <w:rPr>
          <w:rFonts w:ascii="Times New Roman" w:hAnsi="Times New Roman"/>
          <w:b w:val="false"/>
          <w:i w:val="false"/>
          <w:color w:val="000000"/>
          <w:sz w:val="22"/>
        </w:rPr>
        <w:t>A bond shall not be released until the contractor has made payment of all taxes, including contributions due under the unemployment compensation insurance system, penalties, interest, and fees, that may accrue to the state of Iowa or its subdivisions on account of the execution and performance of the contract or approval for the release is obtained from the appropriate agencies.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