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Citations/penalties and appeal hearings.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Citations.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issue a citation to a contractor where an investigation reveals the contractor has violated: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requirement that the contractor be registered;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requirement that the contractor’s registration information be substantially complete and accurate;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requirement that an out-of-state contractor file a bond with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citation is issued, the director shall notify the contractor by certified mail of the proposed administrative penalty, if any. The administrative penalties shall be not more than $500 in the case of the first violation and not more than $5,000 per violation in the case of a second or subsequent violation. In proposing a penalty, due consideration will be given to knowledge of the alleged violation, knowledge of requirements of the law, and nature and extent of the alleged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contractor has 15 working days within which to file a notice of contest of the citation or proposed penalty. The notice of contest is filed with the director who will forward it to the employment appeal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rules of procedure of the employment appeal board shall apply to administrative hearings on citations and penalties.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