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implements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91C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rules in this chapter apply to all construction contractors, except for a person who earns less than $2,000 annually or who performs work or has work performed on the person’s own property.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1C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