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199—35.9</w:t>
      </w:r>
      <w:r>
        <w:rPr>
          <w:rFonts w:ascii="Times New Roman" w:hAnsi="Times New Roman"/>
          <w:b/>
          <w:i w:val="false"/>
          <w:color w:val="000000"/>
          <w:sz w:val="22"/>
        </w:rPr>
        <w:t xml:space="preserve">(476) </w:t>
      </w:r>
      <w:r>
        <w:rPr>
          <w:rFonts w:ascii="Times New Roman" w:hAnsi="Times New Roman"/>
          <w:b/>
          <w:i w:val="false"/>
          <w:color w:val="000000"/>
          <w:sz w:val="22"/>
        </w:rPr>
        <w:t xml:space="preserve">Energy efficiency and demand response cost recovery. </w:t>
      </w:r>
      <w:r>
        <w:rPr>
          <w:rFonts w:ascii="Times New Roman" w:hAnsi="Times New Roman"/>
          <w:b w:val="false"/>
          <w:i w:val="false"/>
          <w:color w:val="000000"/>
          <w:sz w:val="22"/>
        </w:rPr>
        <w:t>Each utility shall be allowed to recover the authorized energy efficiency and demand response plan expenditures adjusted for any overcollections or undercollections calculated on an annual basis. The utility may propose to recover the portion of the costs of process-oriented industrial assessments related to 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35.9(1)</w:t>
      </w:r>
      <w:r>
        <w:rPr>
          <w:rFonts w:ascii="Times New Roman" w:hAnsi="Times New Roman"/>
          <w:b w:val="false"/>
          <w:i w:val="false"/>
          <w:color w:val="000000"/>
          <w:sz w:val="22"/>
        </w:rPr>
        <w:t> </w:t>
      </w:r>
      <w:r>
        <w:rPr>
          <w:rFonts w:ascii="Times New Roman" w:hAnsi="Times New Roman"/>
          <w:b w:val="false"/>
          <w:i/>
          <w:color w:val="000000"/>
          <w:sz w:val="22"/>
        </w:rPr>
        <w:t xml:space="preserve">Accounting for costs. </w:t>
      </w:r>
      <w:r>
        <w:rPr>
          <w:rFonts w:ascii="Times New Roman" w:hAnsi="Times New Roman"/>
          <w:b w:val="false"/>
          <w:i w:val="false"/>
          <w:color w:val="000000"/>
          <w:sz w:val="22"/>
        </w:rPr>
        <w:t>Each utility shall maintain accounting plans and procedures to account for all energy efficiency and demand response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shall maintain a subaccount system, work order system, or accounting system that identifies individual costs by each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utility shall maintain accurate employee, equipment, material, and other records that identify all amounts related to each individual energy efficiency or demand response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35.9(2)</w:t>
      </w:r>
      <w:r>
        <w:rPr>
          <w:rFonts w:ascii="Times New Roman" w:hAnsi="Times New Roman"/>
          <w:b w:val="false"/>
          <w:i w:val="false"/>
          <w:color w:val="000000"/>
          <w:sz w:val="22"/>
        </w:rPr>
        <w:t> </w:t>
      </w:r>
      <w:r>
        <w:rPr>
          <w:rFonts w:ascii="Times New Roman" w:hAnsi="Times New Roman"/>
          <w:b w:val="false"/>
          <w:i/>
          <w:color w:val="000000"/>
          <w:sz w:val="22"/>
        </w:rPr>
        <w:t xml:space="preserve">Automatic adjustment mechanism. </w:t>
      </w:r>
      <w:r>
        <w:rPr>
          <w:rFonts w:ascii="Times New Roman" w:hAnsi="Times New Roman"/>
          <w:b w:val="false"/>
          <w:i w:val="false"/>
          <w:color w:val="000000"/>
          <w:sz w:val="22"/>
        </w:rPr>
        <w:t>Each utility shall file by June 1 of each year energy efficiency and demand response costs proposed to be recovered in rates for the 12-month recovery period beginning at the start of the first utility billing month at least 30 days following commission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35.9(3)</w:t>
      </w:r>
      <w:r>
        <w:rPr>
          <w:rFonts w:ascii="Times New Roman" w:hAnsi="Times New Roman"/>
          <w:b w:val="false"/>
          <w:i w:val="false"/>
          <w:color w:val="000000"/>
          <w:sz w:val="22"/>
        </w:rPr>
        <w:t> </w:t>
      </w:r>
      <w:r>
        <w:rPr>
          <w:rFonts w:ascii="Times New Roman" w:hAnsi="Times New Roman"/>
          <w:b w:val="false"/>
          <w:i/>
          <w:color w:val="000000"/>
          <w:sz w:val="22"/>
        </w:rPr>
        <w:t xml:space="preserve">Energy efficiency cost recovery (EECR) and demand response cost recovery (DRCR) factors. </w:t>
      </w:r>
      <w:r>
        <w:rPr>
          <w:rFonts w:ascii="Times New Roman" w:hAnsi="Times New Roman"/>
          <w:b w:val="false"/>
          <w:i w:val="false"/>
          <w:color w:val="000000"/>
          <w:sz w:val="22"/>
        </w:rPr>
        <w:t>Each utility shall calculate an EECR factor to recover the costs associated with the energy efficiency plan, and each electric utility shall also calculate a DRCR factor to recover costs associated with the demand response plan. The utility shall calculate EECR/DRCR factors separately for each customer classification or grouping previously approved by the commission. A utility shall not use customer classifications or allocations of indirect or other related costs, other than those previously approved by the commission, without filing for a modification of the energy efficiency and demand response plan and receiving commission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EECR/DRCR factors shall be calculated according to the following formula:</w:t>
      </w:r>
    </w:p>
    <w:tbl>
      <w:tblPr>
        <w:tblW w:w="5000" w:type="pct"/>
        <w:tblCellSpacing w:w="0" w:type="auto"/>
        <w:tblBorders>
          <w:top w:val="none"/>
          <w:left w:val="none"/>
          <w:bottom w:val="none"/>
          <w:right w:val="none"/>
          <w:insideH w:val="none"/>
          <w:insideV w:val="none"/>
        </w:tblBorders>
        <w:tblLayout w:type="fixed"/>
      </w:tblPr>
      <w:tblGrid>
        <w:gridCol w:w="3271"/>
        <w:gridCol w:w="2355"/>
        <w:gridCol w:w="5563"/>
      </w:tblGrid>
      <w:tr>
        <w:trPr>
          <w:trHeight w:val="510" w:hRule="atLeast"/>
        </w:trPr>
        <w:tc>
          <w:tcPr>
            <w:tcW w:w="327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1"/>
              </w:rPr>
              <w:t>EECR/DRCR factor</w:t>
            </w:r>
          </w:p>
        </w:tc>
        <w:tc>
          <w:tcPr>
            <w:tcW w:w="235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1"/>
              </w:rPr>
              <w:t>=</w:t>
            </w:r>
          </w:p>
        </w:tc>
        <w:tc>
          <w:tcPr>
            <w:tcW w:w="5563"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1"/>
              </w:rPr>
              <w:t>authorized recovery + overcollection/undercollection</w:t>
            </w:r>
          </w:p>
        </w:tc>
      </w:tr>
      <w:tr>
        <w:trPr>
          <w:trHeight w:val="270" w:hRule="atLeast"/>
        </w:trPr>
        <w:tc>
          <w:tcPr>
            <w:tcW w:w="0" w:type="auto"/>
            <w:vMerge/>
            <w:tcBorders>
              <w:top w:val="nil"/>
            </w:tcBorders>
          </w:tcPr>
          <w:p/>
        </w:tc>
        <w:tc>
          <w:tcPr>
            <w:tcW w:w="0" w:type="auto"/>
            <w:vMerge/>
            <w:tcBorders>
              <w:top w:val="nil"/>
            </w:tcBorders>
          </w:tcPr>
          <w:p/>
        </w:tc>
        <w:tc>
          <w:tcPr>
            <w:tcW w:w="5563"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1"/>
              </w:rPr>
              <w:t>annual sales units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EECR/DRCR factor is the energy efficiency or demand response recovery amount per unit of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Authorized recovery is the difference between the actual energy efficiency or demand response expenditures by customer class for the previous calendar year and the approved energy efficiency or demand response budget by customer class for the previous calendar year plus the approved energy efficiency or demand response budget by customer class for the current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Overcollection or undercollection is the actual amount recovered by customer class for the previous recovery period less the amount authorized to be recovered by customer class for the previous recovery period. Overcollection or undercollection may also include adjustments ordered by the commission in prudence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sales units are the estimated sales for the 12-month recovery period for customers who have not requested an exemption as allowed by rule </w:t>
      </w:r>
      <w:hyperlink r:id="rId4">
        <w:r>
          <w:rPr>
            <w:rStyle w:val="Hyperlink"/>
            <w:rFonts w:ascii="Times New Roman" w:hAnsi="Times New Roman"/>
            <w:b w:val="false"/>
            <w:i w:val="false"/>
            <w:color w:val="000000"/>
            <w:sz w:val="22"/>
          </w:rPr>
          <w:t>199—35.7</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35.9(4)</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w:t>
      </w:r>
      <w:r>
        <w:rPr>
          <w:rFonts w:ascii="Times New Roman" w:hAnsi="Times New Roman"/>
          <w:b w:val="false"/>
          <w:i w:val="false"/>
          <w:color w:val="000000"/>
          <w:sz w:val="22"/>
        </w:rPr>
        <w:t>Each utility proposing to recover energy efficiency or demand response costs through an automatic adjustment mechanism shall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Restatement of the derivation of each EECR/DRCR factor previously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EECR/DRCR factors based on allocation methods and customer classifications and groupings approved by the commission in previous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worksheets and detailed supporting data used to determine new EECR/DRCR factors. Information already on file with the commission may be incorporated by reference in the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reconciliation comparing the amounts actually collected by the previous EECR/DRCR factors to the amounts expended. Overcollection or undercollection shall be used to compute adjustment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commission has determined in a prudence review that previously recovered energy efficiency or demand response costs were imprudently incurred, adjustment factors that shall include reductions for these amounts.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35.9(5)</w:t>
      </w:r>
      <w:r>
        <w:rPr>
          <w:rFonts w:ascii="Times New Roman" w:hAnsi="Times New Roman"/>
          <w:b w:val="false"/>
          <w:i w:val="false"/>
          <w:color w:val="000000"/>
          <w:sz w:val="22"/>
        </w:rPr>
        <w:t> </w:t>
      </w:r>
      <w:r>
        <w:rPr>
          <w:rFonts w:ascii="Times New Roman" w:hAnsi="Times New Roman"/>
          <w:b w:val="false"/>
          <w:i/>
          <w:color w:val="000000"/>
          <w:sz w:val="22"/>
        </w:rPr>
        <w:t xml:space="preserve">Tariff sheets. </w:t>
      </w:r>
      <w:r>
        <w:rPr>
          <w:rFonts w:ascii="Times New Roman" w:hAnsi="Times New Roman"/>
          <w:b w:val="false"/>
          <w:i w:val="false"/>
          <w:color w:val="000000"/>
          <w:sz w:val="22"/>
        </w:rPr>
        <w:t>Upon approval of the new EECR/DRCR factors, the utility shall file separate tariff sheets for commission approval to implement the EECR/DRCR factors in the utility’s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35.9(6)</w:t>
      </w:r>
      <w:r>
        <w:rPr>
          <w:rFonts w:ascii="Times New Roman" w:hAnsi="Times New Roman"/>
          <w:b w:val="false"/>
          <w:i w:val="false"/>
          <w:color w:val="000000"/>
          <w:sz w:val="22"/>
        </w:rPr>
        <w:t> </w:t>
      </w:r>
      <w:r>
        <w:rPr>
          <w:rFonts w:ascii="Times New Roman" w:hAnsi="Times New Roman"/>
          <w:b w:val="false"/>
          <w:i/>
          <w:color w:val="000000"/>
          <w:sz w:val="22"/>
        </w:rPr>
        <w:t xml:space="preserve">Customers’ bills.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electric and natural gas utility shall include the EECR factor, the customer’s usage, and the dollar amount charge on the customer’s bill. Customers who receive one bill for electric and natural gas service shall have a separate line item on the bill for the electric EECR and the natural gas EECR.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represent the DRCR factor, the customer’s usage, and the dollar amount charge on the customer’s bill.</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35.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