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199—35.8</w:t>
      </w:r>
      <w:r>
        <w:rPr>
          <w:rFonts w:ascii="Times New Roman" w:hAnsi="Times New Roman"/>
          <w:b/>
          <w:i w:val="false"/>
          <w:color w:val="000000"/>
          <w:sz w:val="22"/>
        </w:rPr>
        <w:t xml:space="preserve">(476) </w:t>
      </w:r>
      <w:r>
        <w:rPr>
          <w:rFonts w:ascii="Times New Roman" w:hAnsi="Times New Roman"/>
          <w:b/>
          <w:i w:val="false"/>
          <w:color w:val="000000"/>
          <w:sz w:val="22"/>
        </w:rPr>
        <w:t xml:space="preserve">Annual reporting requirements. </w:t>
      </w:r>
      <w:r>
        <w:rPr>
          <w:rFonts w:ascii="Times New Roman" w:hAnsi="Times New Roman"/>
          <w:b w:val="false"/>
          <w:i w:val="false"/>
          <w:color w:val="000000"/>
          <w:sz w:val="22"/>
        </w:rPr>
        <w:t>Each utility shall file by May 1 of each year an energy efficiency annual report that shall include the utility’s energy efficiency and demand response spending compared to the approved budgets; actual demand and energy savings compared to the performance standards approved by the commission; cost-effectiveness results for the prior calendar year; the results of any monitoring and verification activities; and any additional information pertinent to the implementation or performance of the energy efficiency or demand response plan for the previous calendar year, such as changes in outside firms used to implement energy efficiency programs, updates on pilot projects, and other information as required by commission order.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