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199—35.6</w:t>
      </w:r>
      <w:r>
        <w:rPr>
          <w:rFonts w:ascii="Times New Roman" w:hAnsi="Times New Roman"/>
          <w:b/>
          <w:i w:val="false"/>
          <w:color w:val="000000"/>
          <w:sz w:val="22"/>
        </w:rPr>
        <w:t xml:space="preserve">(476)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conduct a contested case proceeding for the purpose of developing specific capacity and energy savings performance standards for each utility required to be rate-regulated and reviewing energy efficiency and demand response plans and budgets designed to achieve those savings.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filing, each application for approval of an energy efficiency and demand response plan that is submitted with the information and supporting documentation required by this chapter, and that complies with the filing requirements of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shall be docketed as a contested case proceeding. The Iowa economic development authority shall be considered a party to the proceeding. The proceeding shall follow the applicable provisions of </w:t>
      </w:r>
      <w:hyperlink r:id="rId5">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filing of a utility’s application for approval of the utility’s energy efficiency plan, each utility shall provide, for the commission’s review, a calculation of the percentage of the utility’s expected annual Iowa retail rate revenue, which the utility shall determine by dividing the total projected budget for the five-year plan by the total projected Iowa retail rate revenues for the five-year plan period. The calculation of a utility’s percentage of Iowa retail rate revenue may be subject to confidential treatment under Iowa Code chapters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xml:space="preserve"> upon request of the utility and as determined by the commission based on the commission’s review of such request.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55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