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199—35.4</w:t>
      </w:r>
      <w:r>
        <w:rPr>
          <w:rFonts w:ascii="Times New Roman" w:hAnsi="Times New Roman"/>
          <w:b/>
          <w:i w:val="false"/>
          <w:color w:val="000000"/>
          <w:sz w:val="22"/>
        </w:rPr>
        <w:t xml:space="preserve">(476) </w:t>
      </w:r>
      <w:r>
        <w:rPr>
          <w:rFonts w:ascii="Times New Roman" w:hAnsi="Times New Roman"/>
          <w:b/>
          <w:i w:val="false"/>
          <w:color w:val="000000"/>
          <w:sz w:val="22"/>
        </w:rPr>
        <w:t xml:space="preserve">Assessment of potential and 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 xml:space="preserve">The utility shall conduct an assessment of potential study to determine the cost-effective energy and capacity savings available in accordance with Iowa Code section </w:t>
      </w:r>
      <w:hyperlink r:id="rId4">
        <w:r>
          <w:rPr>
            <w:rStyle w:val="Hyperlink"/>
            <w:rFonts w:ascii="Times New Roman" w:hAnsi="Times New Roman"/>
            <w:b w:val="false"/>
            <w:i w:val="false"/>
            <w:color w:val="000000"/>
            <w:sz w:val="22"/>
          </w:rPr>
          <w:t>476.6(15)</w:t>
        </w:r>
      </w:hyperlink>
      <w:r>
        <w:rPr>
          <w:rFonts w:ascii="Times New Roman" w:hAnsi="Times New Roman"/>
          <w:b w:val="false"/>
          <w:i w:val="false"/>
          <w:color w:val="000000"/>
          <w:sz w:val="22"/>
        </w:rPr>
        <w:t>. The utility’s assessment shall address the potential energy and capacity savings in each of ten years subsequent to the year the assessment is filed and include economic and impact analyses of measures that address benefits and costs over the entire estimated useful lives of energy efficiency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utility shall offer interested persons the opportunity to participate in the development of its energy efficiency and demand response plans by providing the opportunity for interested persons to offer suggestions for programs, to offer suggestions for the assessment of potential, and to review and comment on the utility’s draft of the assessment of potential and energy efficiency and demand response plans. The utility may analyze proposals from participants to help determine the effects of the proposals on the utility’s plan. A participant is responsible for providing sufficient supporting information to enable the utility to analyze the participant’s proposal. The opportunity to participate shall commence at least 180 days prior to the date the utility submits the utility’s energy efficiency and demand response plans and assessment of potential to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