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199—35.3</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file a five-year energy efficiency plan. Each electric utility shall file a five-year demand response plan. Combination electric and natural gas utilities may file combined assessments of potential and energy efficiency and demand response plans but separately specify which energy efficiency programs and costs are attributable to the electric operation, which are attributable to the natural gas operation, and which are attributable to both. If a combination utility files separate plans, the commission may consolidate the plans for purposes of review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Written notice of the energy efficiency and demand response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and natural gas utility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Deliver a written notice of its plan filing to all affected customers no more than 62 days prior to the filing of its energy efficiency and demand response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File the written notice with the commission for approval not less than 45 days prior to the delivery of the proposed notification to affected customers.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information not related to the energy efficiency and demand response plans shall be kept to a minimum and not distract from the required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form of the notice, once approved by the commission, shall not be altered except to include the rate and bill impact dollars and percentages. The type size and quality shall be easily legible. The notice shall, at a minimum,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utility will be filing energy efficiency and demand response plans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identification of the proposed energy efficiency and demand response programs, a description of benefits and savings associated with the energy efficiency and demand response plans, and the estimated annual cost of the proposed energy efficiency and demand response programs during the five-year budget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annual rate and bill impacts of the proposed energy efficiency and demand response plans on each class of customer, and the estimated annual jurisdictional rate impact for each major customer grouping in dollars and as a percentage, with the proposed actual increases to be filed at the time of notice to customers. The utility may represent the estimated annual rate and bill impact dollars and percentages with blank spaces; however, the commission may require the utility to submit additional information necessary for review of the proposed form of notice. A copy of the notice with the final annual rate and bill impact dollars and percentages shall be filed with the commission at the time of customer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 will be conducting a contested case proceeding to review the application and that a customer may file comments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telephone numbers; websites; email addresses; and mailing addresses of the utility, the commission, and the consumer advocate for the customer to contact with questions.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