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199—35.10</w:t>
      </w:r>
      <w:r>
        <w:rPr>
          <w:rFonts w:ascii="Times New Roman" w:hAnsi="Times New Roman"/>
          <w:b/>
          <w:i w:val="false"/>
          <w:color w:val="000000"/>
          <w:sz w:val="22"/>
        </w:rPr>
        <w:t xml:space="preserve">(476) </w:t>
      </w:r>
      <w:r>
        <w:rPr>
          <w:rFonts w:ascii="Times New Roman" w:hAnsi="Times New Roman"/>
          <w:b/>
          <w:i w:val="false"/>
          <w:color w:val="000000"/>
          <w:sz w:val="22"/>
        </w:rPr>
        <w:t xml:space="preserve">Modification of an approved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35.10(1)</w:t>
      </w:r>
      <w:r>
        <w:rPr>
          <w:rFonts w:ascii="Times New Roman" w:hAnsi="Times New Roman"/>
          <w:b w:val="false"/>
          <w:i w:val="false"/>
          <w:color w:val="000000"/>
          <w:sz w:val="22"/>
        </w:rPr>
        <w:t> </w:t>
      </w:r>
      <w:r>
        <w:rPr>
          <w:rFonts w:ascii="Times New Roman" w:hAnsi="Times New Roman"/>
          <w:b w:val="false"/>
          <w:i w:val="false"/>
          <w:color w:val="000000"/>
          <w:sz w:val="22"/>
        </w:rPr>
        <w:t>An approved energy efficiency plan or an approved demand response plan and associated budget may be modified if the modification is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utilities may request a modification to an approved energy efficiency plan due to changes in the funding as a result of customers requesting exemptions from the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Natural gas and electric utilities may request modification of an approved energy efficiency plan, or electric utilities may request modification of an approved demand response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on its own motion, may consider modification of the energy efficiency or demand response plan and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35.10(2)</w:t>
      </w:r>
      <w:r>
        <w:rPr>
          <w:rFonts w:ascii="Times New Roman" w:hAnsi="Times New Roman"/>
          <w:b w:val="false"/>
          <w:i w:val="false"/>
          <w:color w:val="000000"/>
          <w:sz w:val="22"/>
        </w:rPr>
        <w:t> </w:t>
      </w:r>
      <w:r>
        <w:rPr>
          <w:rFonts w:ascii="Times New Roman" w:hAnsi="Times New Roman"/>
          <w:b w:val="false"/>
          <w:i w:val="false"/>
          <w:color w:val="000000"/>
          <w:sz w:val="22"/>
        </w:rPr>
        <w:t>All applications to modify shall be filed in the same docket in which the energy efficiency or demand response plan was approved. All parties to the docket in which the energy efficiency or demand response plan was approved shall be served copies of the application to modify and have 14 days to file an objection or agreement. Objections should be specifically related to the contents of the modification. Failure to file a timely objection shall be deemed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35.10(3)</w:t>
      </w:r>
      <w:r>
        <w:rPr>
          <w:rFonts w:ascii="Times New Roman" w:hAnsi="Times New Roman"/>
          <w:b w:val="false"/>
          <w:i w:val="false"/>
          <w:color w:val="000000"/>
          <w:sz w:val="22"/>
        </w:rPr>
        <w:t> </w:t>
      </w:r>
      <w:r>
        <w:rPr>
          <w:rFonts w:ascii="Times New Roman" w:hAnsi="Times New Roman"/>
          <w:b w:val="false"/>
          <w:i w:val="false"/>
          <w:color w:val="000000"/>
          <w:sz w:val="22"/>
        </w:rPr>
        <w:t>Each application to modify an approved energy efficiency or demand response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proposed modification and the party’s interest in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analysis supporting the requested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estimated implementation schedule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effect of the modification on attainment of the utility’s performance standards and on projected results, including cost-effectiveness, of the utility’s implementation of the utility’s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35.10(4)</w:t>
      </w:r>
      <w:r>
        <w:rPr>
          <w:rFonts w:ascii="Times New Roman" w:hAnsi="Times New Roman"/>
          <w:b w:val="false"/>
          <w:i w:val="false"/>
          <w:color w:val="000000"/>
          <w:sz w:val="22"/>
        </w:rPr>
        <w:t> </w:t>
      </w:r>
      <w:r>
        <w:rPr>
          <w:rFonts w:ascii="Times New Roman" w:hAnsi="Times New Roman"/>
          <w:b w:val="false"/>
          <w:i w:val="false"/>
          <w:color w:val="000000"/>
          <w:sz w:val="22"/>
        </w:rPr>
        <w:t>If the commission finds that any reasonable grounds exist to investigate the proposed modification, a procedural schedule shall be set and the commission shall take action within 90 days after the modification request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35.10(5)</w:t>
      </w:r>
      <w:r>
        <w:rPr>
          <w:rFonts w:ascii="Times New Roman" w:hAnsi="Times New Roman"/>
          <w:b w:val="false"/>
          <w:i w:val="false"/>
          <w:color w:val="000000"/>
          <w:sz w:val="22"/>
        </w:rPr>
        <w:t> </w:t>
      </w:r>
      <w:r>
        <w:rPr>
          <w:rFonts w:ascii="Times New Roman" w:hAnsi="Times New Roman"/>
          <w:b w:val="false"/>
          <w:i w:val="false"/>
          <w:color w:val="000000"/>
          <w:sz w:val="22"/>
        </w:rPr>
        <w:t>If an application to modify is filed and the commission finds that there is no reason to investigate, then the commission shall issue an order within 90 days after the modification request is filed stating the reasons for the commission’s decision relating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35.10(6)</w:t>
      </w:r>
      <w:r>
        <w:rPr>
          <w:rFonts w:ascii="Times New Roman" w:hAnsi="Times New Roman"/>
          <w:b w:val="false"/>
          <w:i w:val="false"/>
          <w:color w:val="000000"/>
          <w:sz w:val="22"/>
        </w:rPr>
        <w:t> </w:t>
      </w:r>
      <w:r>
        <w:rPr>
          <w:rFonts w:ascii="Times New Roman" w:hAnsi="Times New Roman"/>
          <w:b w:val="false"/>
          <w:i w:val="false"/>
          <w:color w:val="000000"/>
          <w:sz w:val="22"/>
        </w:rPr>
        <w:t>If the commission rejects or modifies a utility’s plan, the commission may require the utility to file a modified plan and may specify the minimum acceptable contents of the modified plan.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