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199—21.8</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Applications for water costs for fire protection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“water costs for fire protection service” means all or a part of the utility’s costs of fire hydrants and other improvements, maintenance, and operations for the purpose of providing adequate water production, storage, and distribution for public fire protection, as reflected in the utility’s current tariff for public fire protection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Utility requirements. </w:t>
      </w:r>
      <w:r>
        <w:rPr>
          <w:rFonts w:ascii="Times New Roman" w:hAnsi="Times New Roman"/>
          <w:b w:val="false"/>
          <w:i w:val="false"/>
          <w:color w:val="000000"/>
          <w:sz w:val="22"/>
        </w:rPr>
        <w:t xml:space="preserve">A utility that provides public fire protection water service to a city preparing an application pursuant to subrule </w:t>
      </w:r>
      <w:hyperlink r:id="rId4">
        <w:r>
          <w:rPr>
            <w:rStyle w:val="Hyperlink"/>
            <w:rFonts w:ascii="Times New Roman" w:hAnsi="Times New Roman"/>
            <w:b w:val="false"/>
            <w:i w:val="false"/>
            <w:color w:val="000000"/>
            <w:sz w:val="22"/>
          </w:rPr>
          <w:t>21.8(3)</w:t>
        </w:r>
      </w:hyperlink>
      <w:r>
        <w:rPr>
          <w:rFonts w:ascii="Times New Roman" w:hAnsi="Times New Roman"/>
          <w:b w:val="false"/>
          <w:i w:val="false"/>
          <w:color w:val="000000"/>
          <w:sz w:val="22"/>
        </w:rPr>
        <w:t xml:space="preserve"> will provide the city all necessary information and affidavits to enable the city to meet its application filing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Any city filing an application with the commission requesting inclusion of all or a part of the water costs for fire protection service in a utility’s rates or charges to customers covered by the city’s fire protection service will submit, at the time the application is filed, the following information with supporting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showing (1) the proposed method of allocating costs to affected customers, and (2) both the proposed per-customer rate increase and the average percentage increase by customer class, based on the utility’s current tariff, if the costs for fire protection water service are included in rates charged to affected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all bills rendered to the city by the utility for public fire protection water service during the preceding 24-month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number of utility customers served within the city’s corporate limits, by customer class, with an affidavit from the utility verifying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map illustrating both (1) the city’s corporate limits, and (2) the portion of the utility’s customer service area within the city’s corporate limits, with an affidavit from the utility verifying the customer service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from the utility showing that the notice required by Iowa Code section </w:t>
      </w:r>
      <w:hyperlink r:id="rId5">
        <w:r>
          <w:rPr>
            <w:rStyle w:val="Hyperlink"/>
            <w:rFonts w:ascii="Times New Roman" w:hAnsi="Times New Roman"/>
            <w:b w:val="false"/>
            <w:i w:val="false"/>
            <w:color w:val="000000"/>
            <w:sz w:val="22"/>
          </w:rPr>
          <w:t>476.6(14)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subrule </w:t>
      </w:r>
      <w:hyperlink r:id="rId6">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 xml:space="preserve"> has been provided and paid for by the applicant and mailed by the utility to all affected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21.8(4)</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Prior approval. </w:t>
      </w:r>
      <w:r>
        <w:rPr>
          <w:rFonts w:ascii="Times New Roman" w:hAnsi="Times New Roman"/>
          <w:b w:val="false"/>
          <w:i w:val="false"/>
          <w:color w:val="000000"/>
          <w:sz w:val="22"/>
        </w:rPr>
        <w:t>The city will file with the commission for its approval, not less than 30 days before providing notification to affected customers, a copy of the proposed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notification. </w:t>
      </w:r>
      <w:r>
        <w:rPr>
          <w:rFonts w:ascii="Times New Roman" w:hAnsi="Times New Roman"/>
          <w:b w:val="false"/>
          <w:i w:val="false"/>
          <w:color w:val="000000"/>
          <w:sz w:val="22"/>
        </w:rPr>
        <w:t>The notice will advise affected customers of the proposed increase in rates and charges, the proposed effective date of the increase, the percentage increase by customer class, and include a written explanation of the reason for the increase. The notice will advise customers that the city is requesting the increase and that customers have the right to file with the commission a written objection to the proposed increase and to request a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deficiencies. </w:t>
      </w:r>
      <w:r>
        <w:rPr>
          <w:rFonts w:ascii="Times New Roman" w:hAnsi="Times New Roman"/>
          <w:b w:val="false"/>
          <w:i w:val="false"/>
          <w:color w:val="000000"/>
          <w:sz w:val="22"/>
        </w:rPr>
        <w:t>Within 30 days of the filing of the proposed notice, the city will be notified either of the approval of the notice or of any deficiencies in the notice and the corrective measures required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r>
        <w:rPr>
          <w:rFonts w:ascii="Times New Roman" w:hAnsi="Times New Roman"/>
          <w:b w:val="false"/>
          <w:i w:val="false"/>
          <w:color w:val="000000"/>
          <w:sz w:val="22"/>
        </w:rPr>
        <w:t>The city shall provide to the utility, for mailing, a sufficient number of copies of the approved notice and direct the utility either to (1) include the notice with the utility’s next regularly scheduled mailing to the affected customers, or (2) make a separate mailing of the notice to affected customers within 30 days of receiving from the city the requisite number of copies of the notice. The city will pay all expenses incurred by the utility in providing notice to affected customers. The utility may require payment prior to the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The written notice to affected customers will be mailed or delivered by the utility not more than 90 days before the application is filed and no later than the date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21.8(5)</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Docketing. </w:t>
      </w:r>
      <w:r>
        <w:rPr>
          <w:rFonts w:ascii="Times New Roman" w:hAnsi="Times New Roman"/>
          <w:b w:val="false"/>
          <w:i w:val="false"/>
          <w:color w:val="000000"/>
          <w:sz w:val="22"/>
        </w:rPr>
        <w:t>Within 30 days of the applicant filing the application with the commission, the commission will either approve the application or docket the case as a formal proceeding and establish a procedural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commission will render its decision within six months of the date of the application. If the application is approved, the commission will order the utility providing the water service to the city to file tariffs implementing the commission’s decision. The utility will include annually a bill insert explaining to customers that the customers are being charged for water-related fire protection costs. The city will pay all costs incurred by the utility to file and implement the required tariff.</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21.8.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ac/rule/199.21.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