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199—21.5</w:t>
      </w:r>
      <w:r>
        <w:rPr>
          <w:rFonts w:ascii="Times New Roman" w:hAnsi="Times New Roman"/>
          <w:b/>
          <w:i w:val="false"/>
          <w:color w:val="000000"/>
          <w:sz w:val="22"/>
        </w:rPr>
        <w:t xml:space="preserve">(476) </w:t>
      </w:r>
      <w:r>
        <w:rPr>
          <w:rFonts w:ascii="Times New Roman" w:hAnsi="Times New Roman"/>
          <w:b/>
          <w:i w:val="false"/>
          <w:color w:val="000000"/>
          <w:sz w:val="22"/>
        </w:rPr>
        <w:t xml:space="preserve">Engineering practice for water service.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21.5(1)</w:t>
      </w:r>
      <w:r>
        <w:rPr>
          <w:rFonts w:ascii="Times New Roman" w:hAnsi="Times New Roman"/>
          <w:b w:val="false"/>
          <w:i w:val="false"/>
          <w:color w:val="000000"/>
          <w:sz w:val="22"/>
        </w:rPr>
        <w:t> </w:t>
      </w:r>
      <w:r>
        <w:rPr>
          <w:rFonts w:ascii="Times New Roman" w:hAnsi="Times New Roman"/>
          <w:b w:val="false"/>
          <w:i/>
          <w:color w:val="000000"/>
          <w:sz w:val="22"/>
        </w:rPr>
        <w:t xml:space="preserve">Requirement of good engineering practice. </w:t>
      </w:r>
      <w:r>
        <w:rPr>
          <w:rFonts w:ascii="Times New Roman" w:hAnsi="Times New Roman"/>
          <w:b w:val="false"/>
          <w:i w:val="false"/>
          <w:color w:val="000000"/>
          <w:sz w:val="22"/>
        </w:rPr>
        <w:t>The design and construction of the utility’s plant and distribution system will conform to good standard engineering practice.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21.5(2)</w:t>
      </w:r>
      <w:r>
        <w:rPr>
          <w:rFonts w:ascii="Times New Roman" w:hAnsi="Times New Roman"/>
          <w:b w:val="false"/>
          <w:i w:val="false"/>
          <w:color w:val="000000"/>
          <w:sz w:val="22"/>
        </w:rPr>
        <w:t> </w:t>
      </w:r>
      <w:r>
        <w:rPr>
          <w:rFonts w:ascii="Times New Roman" w:hAnsi="Times New Roman"/>
          <w:b w:val="false"/>
          <w:i/>
          <w:color w:val="000000"/>
          <w:sz w:val="22"/>
        </w:rPr>
        <w:t xml:space="preserve">Inspection. </w:t>
      </w:r>
      <w:r>
        <w:rPr>
          <w:rFonts w:ascii="Times New Roman" w:hAnsi="Times New Roman"/>
          <w:b w:val="false"/>
          <w:i w:val="false"/>
          <w:color w:val="000000"/>
          <w:sz w:val="22"/>
        </w:rPr>
        <w:t>Each utility shall adopt and follow a program of inspection of its plant and distribution system in order to determine the necessity for replacement and repair. The frequency of the various inspections will be based on the utility’s experience and accepted good practice.</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8846C</w:t>
      </w:r>
      <w:r>
        <w:rPr>
          <w:rFonts w:ascii="Times New Roman" w:hAnsi="Times New Roman"/>
          <w:b w:val="false"/>
          <w:i w:val="false"/>
          <w:color w:val="000000"/>
          <w:sz w:val="16"/>
        </w:rPr>
        <w:t>, IAB 1/22/25, effective 2/26/25</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