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199—21.21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Separate books for acquired storm water drainage service assets.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utility acquiring the whole or any substantial part of a storm water drainage system with a purchase price of $3 million or more from a non-rate-regulated entity described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476.1(3)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will maintain separate books and records for the acquired system until the utility’s next general rate case unless otherwise ordered by the commission.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7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