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and reports for water, sanitary sewage, and storm water drainage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Tariffs. </w:t>
      </w:r>
      <w:r>
        <w:rPr>
          <w:rFonts w:ascii="Times New Roman" w:hAnsi="Times New Roman"/>
          <w:b w:val="false"/>
          <w:i w:val="false"/>
          <w:color w:val="000000"/>
          <w:sz w:val="22"/>
        </w:rPr>
        <w:t>The utility shall maintain its tariff filing in a current status.</w:t>
      </w:r>
    </w:p>
    <w:p>
      <w:pPr>
        <w:spacing w:before="0" w:after="0"/>
        <w:ind w:left="120"/>
        <w:jc w:val="both"/>
      </w:pPr>
      <w:r>
        <w:rPr>
          <w:rFonts w:ascii="Times New Roman" w:hAnsi="Times New Roman"/>
          <w:b w:val="false"/>
          <w:i w:val="false"/>
          <w:color w:val="000000"/>
          <w:sz w:val="22"/>
        </w:rPr>
        <w:t>The rates and rules of all utilities subject to the rules in this chapter shall be filed with the commission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tariff shall conform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4">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and the words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 The utility may propose an effective date in the cover letter or interpretation submitted with the tariff. In lieu of a proposed effective date, the utility can provide the date of the month the utility would like the tariff to become effective in the cover letter or interpretation.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r>
        <w:rPr>
          <w:rFonts w:ascii="Times New Roman" w:hAnsi="Times New Roman"/>
          <w:b w:val="false"/>
          <w:i w:val="false"/>
          <w:color w:val="000000"/>
          <w:sz w:val="22"/>
        </w:rPr>
        <w:t xml:space="preserve">A tariff filed with the commission shall contain a table of contents; rates, including all rates of utilities for service with indication for each rate of the type of service and the class of customers to which each rate applies as approved by the commission; prices per unit of service; number of units per billing period to which the prices apply; period of billing; minimum bill; method of measuring demands and consumptions, including method of calculating or estimating loads or minimums; and any special terms and conditions applicable. Any discount for prompt payment or penalty for late payment and the period during which the net amount may be paid will be specified and be in accordance with subrule </w:t>
      </w:r>
      <w:hyperlink r:id="rId5">
        <w:r>
          <w:rPr>
            <w:rStyle w:val="Hyperlink"/>
            <w:rFonts w:ascii="Times New Roman" w:hAnsi="Times New Roman"/>
            <w:b w:val="false"/>
            <w:i w:val="false"/>
            <w:color w:val="000000"/>
            <w:sz w:val="22"/>
          </w:rPr>
          <w:t>21.4(4)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List of persons authorized to receive commission inquiries. </w:t>
      </w:r>
      <w:r>
        <w:rPr>
          <w:rFonts w:ascii="Times New Roman" w:hAnsi="Times New Roman"/>
          <w:b w:val="false"/>
          <w:i w:val="false"/>
          <w:color w:val="000000"/>
          <w:sz w:val="22"/>
        </w:rPr>
        <w:t xml:space="preserve">Each utility shall file with the commission in the annual report required by rule </w:t>
      </w:r>
      <w:hyperlink r:id="rId6">
        <w:r>
          <w:rPr>
            <w:rStyle w:val="Hyperlink"/>
            <w:rFonts w:ascii="Times New Roman" w:hAnsi="Times New Roman"/>
            <w:b w:val="false"/>
            <w:i w:val="false"/>
            <w:color w:val="000000"/>
            <w:sz w:val="22"/>
          </w:rPr>
          <w:t>199—23.1</w:t>
        </w:r>
      </w:hyperlink>
      <w:r>
        <w:rPr>
          <w:rFonts w:ascii="Times New Roman" w:hAnsi="Times New Roman"/>
          <w:b w:val="false"/>
          <w:i w:val="false"/>
          <w:color w:val="000000"/>
          <w:sz w:val="22"/>
        </w:rPr>
        <w:t>(476) a list of names, titles, addresses, and telephone numbers of persons authorized to receive, act upon, and respond to communications from the commission in connection with: (1) general management duties; (2) customer relations (complaints); (3) engineering operations; (4) meter tests and repairs, if meters are used; and (5) interruptions of service 24 hours a day. The contact information required by this subrule will be kept current.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14.pdf" Type="http://schemas.openxmlformats.org/officeDocument/2006/relationships/hyperlink" Id="rId4"/>
    <Relationship TargetMode="External" Target="https://www.legis.iowa.gov/docs/iac/rule/199.21.4.pdf" Type="http://schemas.openxmlformats.org/officeDocument/2006/relationships/hyperlink" Id="rId5"/>
    <Relationship TargetMode="External" Target="https://www.legis.iowa.gov/docs/iac/rule/199.2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