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199—21.18</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Design and maintenance. </w:t>
      </w:r>
      <w:r>
        <w:rPr>
          <w:rFonts w:ascii="Times New Roman" w:hAnsi="Times New Roman"/>
          <w:b w:val="false"/>
          <w:i w:val="false"/>
          <w:color w:val="000000"/>
          <w:sz w:val="22"/>
        </w:rPr>
        <w:t>Systems for storm water drainage by piped collection shall be designed and maintained in conformance with good engineering practices. Such systems will be designed and maintained so as to minimize flooding and ponding outside of areas designed to retain storm water and to reasonably provide for the drainage of normally anticipated rainfall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Storm water drainage systems shall be inspected on a routine basis to identify and correct the blockage or obstruction of intake structures. The frequency of such inspections will be based upon the utility’s experience and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color w:val="000000"/>
          <w:sz w:val="22"/>
        </w:rPr>
        <w:t xml:space="preserve">Connections. </w:t>
      </w:r>
      <w:r>
        <w:rPr>
          <w:rFonts w:ascii="Times New Roman" w:hAnsi="Times New Roman"/>
          <w:b w:val="false"/>
          <w:i w:val="false"/>
          <w:color w:val="000000"/>
          <w:sz w:val="22"/>
        </w:rPr>
        <w:t>Utilities providing piped storm water drainage shall control the installation and maintenance of the piped connection up to and including all storm water intakes. Connections shall be adequate to receive all storm water drainage from properties upgradient of the storm water drainage connection unless other upgradient connections are provided. Connections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21.18(4)</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Rates for storm water drainage service provided by a utility may be based upon the acreage drained, or by some other method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21.18(5)</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Storm water drainage service is considered a separate class of service for ratemaking purposes.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