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199—21.15</w:t>
      </w:r>
      <w:r>
        <w:rPr>
          <w:rFonts w:ascii="Times New Roman" w:hAnsi="Times New Roman"/>
          <w:b/>
          <w:i w:val="false"/>
          <w:color w:val="000000"/>
          <w:sz w:val="22"/>
        </w:rPr>
        <w:t xml:space="preserve">(476) </w:t>
      </w:r>
      <w:r>
        <w:rPr>
          <w:rFonts w:ascii="Times New Roman" w:hAnsi="Times New Roman"/>
          <w:b/>
          <w:i w:val="false"/>
          <w:color w:val="000000"/>
          <w:sz w:val="22"/>
        </w:rPr>
        <w:t xml:space="preserve">Standards of quality of sanitary sewage disposal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21.15(1)</w:t>
      </w:r>
      <w:r>
        <w:rPr>
          <w:rFonts w:ascii="Times New Roman" w:hAnsi="Times New Roman"/>
          <w:b w:val="false"/>
          <w:i w:val="false"/>
          <w:color w:val="000000"/>
          <w:sz w:val="22"/>
        </w:rPr>
        <w:t> </w:t>
      </w:r>
      <w:r>
        <w:rPr>
          <w:rFonts w:ascii="Times New Roman" w:hAnsi="Times New Roman"/>
          <w:b w:val="false"/>
          <w:i/>
          <w:color w:val="000000"/>
          <w:sz w:val="22"/>
        </w:rPr>
        <w:t xml:space="preserve">Operation and maintenance. </w:t>
      </w:r>
      <w:r>
        <w:rPr>
          <w:rFonts w:ascii="Times New Roman" w:hAnsi="Times New Roman"/>
          <w:b w:val="false"/>
          <w:i w:val="false"/>
          <w:color w:val="000000"/>
          <w:sz w:val="22"/>
        </w:rPr>
        <w:t>The utility shall maintain and operate any sewage treatment facility with adequate capacity and equipment to convey all sewage to the plant and to treat the sewage to the quality required by all applicable laws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21.15(2)</w:t>
      </w:r>
      <w:r>
        <w:rPr>
          <w:rFonts w:ascii="Times New Roman" w:hAnsi="Times New Roman"/>
          <w:b w:val="false"/>
          <w:i w:val="false"/>
          <w:color w:val="000000"/>
          <w:sz w:val="22"/>
        </w:rPr>
        <w:t> </w:t>
      </w:r>
      <w:r>
        <w:rPr>
          <w:rFonts w:ascii="Times New Roman" w:hAnsi="Times New Roman"/>
          <w:b w:val="false"/>
          <w:i/>
          <w:color w:val="000000"/>
          <w:sz w:val="22"/>
        </w:rPr>
        <w:t xml:space="preserve">Design and construction. </w:t>
      </w:r>
      <w:r>
        <w:rPr>
          <w:rFonts w:ascii="Times New Roman" w:hAnsi="Times New Roman"/>
          <w:b w:val="false"/>
          <w:i w:val="false"/>
          <w:color w:val="000000"/>
          <w:sz w:val="22"/>
        </w:rPr>
        <w:t>The design and construction of the utility’s collection system, treatment facility, and all additions and modifications shall conform to the requirements prescribed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21.15(3)</w:t>
      </w:r>
      <w:r>
        <w:rPr>
          <w:rFonts w:ascii="Times New Roman" w:hAnsi="Times New Roman"/>
          <w:b w:val="false"/>
          <w:i w:val="false"/>
          <w:color w:val="000000"/>
          <w:sz w:val="22"/>
        </w:rPr>
        <w:t> </w:t>
      </w:r>
      <w:r>
        <w:rPr>
          <w:rFonts w:ascii="Times New Roman" w:hAnsi="Times New Roman"/>
          <w:b w:val="false"/>
          <w:i/>
          <w:color w:val="000000"/>
          <w:sz w:val="22"/>
        </w:rPr>
        <w:t xml:space="preserve">Reasonable efforts to prevent. </w:t>
      </w:r>
      <w:r>
        <w:rPr>
          <w:rFonts w:ascii="Times New Roman" w:hAnsi="Times New Roman"/>
          <w:b w:val="false"/>
          <w:i w:val="false"/>
          <w:color w:val="000000"/>
          <w:sz w:val="22"/>
        </w:rPr>
        <w:t>The utility will make reasonable efforts to eliminate or prevent the entry of surface water or groundwater into its sanitary sewage system or the unlawful release of untreated sanitary sewage. The utility may request assistance from any appropriate state, county, or municipal authorities, but such a request does not relieve the utility of its responsibility to make reasonable efforts to eliminate or prevent the entry of surface water or groundwater and to contain sewage. The utility will notify the commission when it requests assistance from other state or local agencies.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21.15(4)</w:t>
      </w:r>
      <w:r>
        <w:rPr>
          <w:rFonts w:ascii="Times New Roman" w:hAnsi="Times New Roman"/>
          <w:b w:val="false"/>
          <w:i w:val="false"/>
          <w:color w:val="000000"/>
          <w:sz w:val="22"/>
        </w:rPr>
        <w:t> </w:t>
      </w:r>
      <w:r>
        <w:rPr>
          <w:rFonts w:ascii="Times New Roman" w:hAnsi="Times New Roman"/>
          <w:b w:val="false"/>
          <w:i/>
          <w:color w:val="000000"/>
          <w:sz w:val="22"/>
        </w:rPr>
        <w:t xml:space="preserve">Bypass and upset. </w:t>
      </w:r>
      <w:r>
        <w:rPr>
          <w:rFonts w:ascii="Times New Roman" w:hAnsi="Times New Roman"/>
          <w:b w:val="false"/>
          <w:i w:val="false"/>
          <w:color w:val="000000"/>
          <w:sz w:val="22"/>
        </w:rPr>
        <w:t xml:space="preserve">The utility will comply with the bypass and upset provisions of rule </w:t>
      </w:r>
      <w:hyperlink r:id="rId4">
        <w:r>
          <w:rPr>
            <w:rStyle w:val="Hyperlink"/>
            <w:rFonts w:ascii="Times New Roman" w:hAnsi="Times New Roman"/>
            <w:b w:val="false"/>
            <w:i w:val="false"/>
            <w:color w:val="000000"/>
            <w:sz w:val="22"/>
          </w:rPr>
          <w:t>567—63.6</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21.15(5)</w:t>
      </w:r>
      <w:r>
        <w:rPr>
          <w:rFonts w:ascii="Times New Roman" w:hAnsi="Times New Roman"/>
          <w:b w:val="false"/>
          <w:i w:val="false"/>
          <w:color w:val="000000"/>
          <w:sz w:val="22"/>
        </w:rPr>
        <w:t> </w:t>
      </w:r>
      <w:r>
        <w:rPr>
          <w:rFonts w:ascii="Times New Roman" w:hAnsi="Times New Roman"/>
          <w:b w:val="false"/>
          <w:i/>
          <w:color w:val="000000"/>
          <w:sz w:val="22"/>
        </w:rPr>
        <w:t xml:space="preserve">Interruption of sanitary sewage disposal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utility shall make a reasonable effort to prevent interruptions of sanitary sewage service. When an emergency interruption occurs, the utility will reestablish service with the shortest possible delay consistent with the safety of its customers and the general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utility finds it necessary to schedule an interruption of service, the utility shall make a reasonable effort to notify all customers to be affected by the interruption, including the time and anticipated duration of the interruption. Interruptions shall be scheduled at hours that create the least inconvenience to the customer. The utility shall notify the commission when sanitary sewage service is interrupted. Except for emergencies, a utility shall not interrupt sanitary sewage disposal service unless water service has been disconnected at least 24 hours prior.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utility shall retain records of interruptions for a period of at least five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21.15(6)</w:t>
      </w:r>
      <w:r>
        <w:rPr>
          <w:rFonts w:ascii="Times New Roman" w:hAnsi="Times New Roman"/>
          <w:b w:val="false"/>
          <w:i w:val="false"/>
          <w:color w:val="000000"/>
          <w:sz w:val="22"/>
        </w:rPr>
        <w:t> </w:t>
      </w:r>
      <w:r>
        <w:rPr>
          <w:rFonts w:ascii="Times New Roman" w:hAnsi="Times New Roman"/>
          <w:b w:val="false"/>
          <w:i/>
          <w:color w:val="000000"/>
          <w:sz w:val="22"/>
        </w:rPr>
        <w:t xml:space="preserve">Separate class. </w:t>
      </w:r>
      <w:r>
        <w:rPr>
          <w:rFonts w:ascii="Times New Roman" w:hAnsi="Times New Roman"/>
          <w:b w:val="false"/>
          <w:i w:val="false"/>
          <w:color w:val="000000"/>
          <w:sz w:val="22"/>
        </w:rPr>
        <w:t>Sanitary sewage service is considered a separate class of service for ratemaking purposes.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8846C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67.63.6.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