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199—21.13</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practice for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21.13(1)</w:t>
      </w:r>
      <w:r>
        <w:rPr>
          <w:rFonts w:ascii="Times New Roman" w:hAnsi="Times New Roman"/>
          <w:b w:val="false"/>
          <w:i w:val="false"/>
          <w:color w:val="000000"/>
          <w:sz w:val="22"/>
        </w:rPr>
        <w:t> </w:t>
      </w:r>
      <w:r>
        <w:rPr>
          <w:rFonts w:ascii="Times New Roman" w:hAnsi="Times New Roman"/>
          <w:b w:val="false"/>
          <w:i/>
          <w:color w:val="000000"/>
          <w:sz w:val="22"/>
        </w:rPr>
        <w:t xml:space="preserve">Requirement of good engineering practice. </w:t>
      </w:r>
      <w:r>
        <w:rPr>
          <w:rFonts w:ascii="Times New Roman" w:hAnsi="Times New Roman"/>
          <w:b w:val="false"/>
          <w:i w:val="false"/>
          <w:color w:val="000000"/>
          <w:sz w:val="22"/>
        </w:rPr>
        <w:t>The design and construction of the utility’s plant and collection system will conform to good standard engineering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21.13(2)</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Each utility shall adopt and follow a program of inspection of its plant and collection system in order to determine the necessity for replacement and repair. The frequency of the various inspections will be based on the utility’s experience and accepted good practice.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