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199—21.12</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4">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form contained herein will file its proposed form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will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will compute interest on customer deposits at 7.5 percent per annum, compounded annually. Interest for prior periods will be computed at the rate specified by the rule in effect for the period in question. Interest will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5">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6">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will bill each customer as promptly as possible following the reading of the customer’s meter. Each bill, including the customer’s receipt,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units metered,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applicable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gross and net amounts of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considered rendered to the customer when deposited in the U.S. mail with postage prepaid, or sent via electronic delivery with customer consent. If delivery is by other than U.S. mail, the bill is considered rendered when delivered to the last-known address, including electronic addresses, of the party responsible for payment. The customer will have a minimum of 20 days between the rendering of a bill and the date by which the account becomes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will not exceed 1.5 percent per month of the past due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will be granted at least one complete forgiveness of a late payment charge each calendar year. The utility’s rules will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val="false"/>
          <w:i w:val="false"/>
          <w:color w:val="000000"/>
          <w:sz w:val="22"/>
        </w:rPr>
        <w:t xml:space="preserve">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 as defined in subrule </w:t>
      </w:r>
      <w:hyperlink r:id="rId7">
        <w:r>
          <w:rPr>
            <w:rStyle w:val="Hyperlink"/>
            <w:rFonts w:ascii="Times New Roman" w:hAnsi="Times New Roman"/>
            <w:b w:val="false"/>
            <w:i w:val="false"/>
            <w:color w:val="000000"/>
            <w:sz w:val="22"/>
          </w:rPr>
          <w:t>21.4(12)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subrule </w:t>
      </w:r>
      <w:hyperlink r:id="rId8">
        <w:r>
          <w:rPr>
            <w:rStyle w:val="Hyperlink"/>
            <w:rFonts w:ascii="Times New Roman" w:hAnsi="Times New Roman"/>
            <w:b w:val="false"/>
            <w:i w:val="false"/>
            <w:color w:val="000000"/>
            <w:sz w:val="22"/>
          </w:rPr>
          <w:t>21.12(6)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that are incorrect due to meter or billing errors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a person no longer a customer of the utility, a notice will be mailed to the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paragraph </w:t>
      </w:r>
      <w:hyperlink r:id="rId9">
        <w:r>
          <w:rPr>
            <w:rStyle w:val="Hyperlink"/>
            <w:rFonts w:ascii="Times New Roman" w:hAnsi="Times New Roman"/>
            <w:b w:val="false"/>
            <w:i w:val="false"/>
            <w:color w:val="000000"/>
            <w:sz w:val="22"/>
          </w:rPr>
          <w:t>21.12(6)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cannot exceed five years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will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21.12(7)</w:t>
      </w:r>
      <w:r>
        <w:rPr>
          <w:rFonts w:ascii="Times New Roman" w:hAnsi="Times New Roman"/>
          <w:b w:val="false"/>
          <w:i w:val="false"/>
          <w:color w:val="000000"/>
          <w:sz w:val="22"/>
        </w:rPr>
        <w:t> </w:t>
      </w:r>
      <w:r>
        <w:rPr>
          <w:rFonts w:ascii="Times New Roman" w:hAnsi="Times New Roman"/>
          <w:b w:val="false"/>
          <w:i/>
          <w:color w:val="000000"/>
          <w:sz w:val="22"/>
        </w:rPr>
        <w:t xml:space="preserve">Refusal of service. </w:t>
      </w:r>
      <w:r>
        <w:rPr>
          <w:rFonts w:ascii="Times New Roman" w:hAnsi="Times New Roman"/>
          <w:b w:val="false"/>
          <w:i w:val="false"/>
          <w:color w:val="000000"/>
          <w:sz w:val="22"/>
        </w:rPr>
        <w:t xml:space="preserve">Service may be refused only for the reasons listed in paragraphs </w:t>
      </w:r>
      <w:hyperlink r:id="rId10">
        <w:r>
          <w:rPr>
            <w:rStyle w:val="Hyperlink"/>
            <w:rFonts w:ascii="Times New Roman" w:hAnsi="Times New Roman"/>
            <w:b w:val="false"/>
            <w:i w:val="false"/>
            <w:color w:val="000000"/>
            <w:sz w:val="22"/>
          </w:rPr>
          <w:t>21.12(7)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below. Unless otherwise stated, the customer shall be permitted at least 12 days, excluding Sundays and legal holidays, following mailing of notice of refusal in which to take necessary action before service is refused. When a person is refused service, the utility shall notify the person promptly of the reason for the refusal to serve and of the person’s right to file a complaint about the utility’s decision with the commission. Refusal of service shall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tampering with the equipment furnished and owned by the utility or obtaining service by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its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21.12(8)</w:t>
      </w:r>
      <w:r>
        <w:rPr>
          <w:rFonts w:ascii="Times New Roman" w:hAnsi="Times New Roman"/>
          <w:b w:val="false"/>
          <w:i w:val="false"/>
          <w:color w:val="000000"/>
          <w:sz w:val="22"/>
        </w:rPr>
        <w:t> </w:t>
      </w:r>
      <w:r>
        <w:rPr>
          <w:rFonts w:ascii="Times New Roman" w:hAnsi="Times New Roman"/>
          <w:b w:val="false"/>
          <w:i/>
          <w:color w:val="000000"/>
          <w:sz w:val="22"/>
        </w:rPr>
        <w:t xml:space="preserve">Method of refusing service. </w:t>
      </w:r>
      <w:r>
        <w:rPr>
          <w:rFonts w:ascii="Times New Roman" w:hAnsi="Times New Roman"/>
          <w:b w:val="false"/>
          <w:i w:val="false"/>
          <w:color w:val="000000"/>
          <w:sz w:val="22"/>
        </w:rPr>
        <w:t>A utility may refuse sanitary sewage disposal service to a residential customer by disconnecting water service or by arranging for the disconnection of water service pursuant to an agreement with the entity providing water service. Except in the event of an emergency or with prior written authorization from the commission, a utility shall not refuse sanitary sewage disposal service to a residential customer by physically disconnecting the customer’s sanitary sewage service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sanitary sewage disposal service where the cause of discontinuance has been corrected, the utility will promptly restore service to the customer. The utility may make a reasonable charge applied uniformly for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does not constitute sufficient cause for refusal of service to a present or prospective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 means any objection to the charge, facilities, or quality of service of a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will investigate promptly and thoroughly and keep a record of all complaints received from its customers that will enable the utility to review its procedures and actions. The record shall show the name and address of the complainant, the date and nature of the complaint, and the complaint’s disposition and the date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the original complaint shall be kept for a period of three years after final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21.12(12)</w:t>
      </w:r>
      <w:r>
        <w:rPr>
          <w:rFonts w:ascii="Times New Roman" w:hAnsi="Times New Roman"/>
          <w:b w:val="false"/>
          <w:i w:val="false"/>
          <w:color w:val="000000"/>
          <w:sz w:val="22"/>
        </w:rPr>
        <w:t> </w:t>
      </w:r>
      <w:r>
        <w:rPr>
          <w:rFonts w:ascii="Times New Roman" w:hAnsi="Times New Roman"/>
          <w:b w:val="false"/>
          <w:i/>
          <w:color w:val="000000"/>
          <w:sz w:val="22"/>
        </w:rPr>
        <w:t xml:space="preserve">Reasonable payment agreement. </w:t>
      </w:r>
      <w:r>
        <w:rPr>
          <w:rFonts w:ascii="Times New Roman" w:hAnsi="Times New Roman"/>
          <w:b w:val="false"/>
          <w:i w:val="false"/>
          <w:color w:val="000000"/>
          <w:sz w:val="22"/>
        </w:rPr>
        <w:t xml:space="preserve">A customer may enter into a reasonable payment agreement as defined in subrule </w:t>
      </w:r>
      <w:hyperlink r:id="rId11">
        <w:r>
          <w:rPr>
            <w:rStyle w:val="Hyperlink"/>
            <w:rFonts w:ascii="Times New Roman" w:hAnsi="Times New Roman"/>
            <w:b w:val="false"/>
            <w:i w:val="false"/>
            <w:color w:val="000000"/>
            <w:sz w:val="22"/>
          </w:rPr>
          <w:t>21.4(12)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ustomer@iuc.iowa.gov" Type="http://schemas.openxmlformats.org/officeDocument/2006/relationships/hyperlink" Id="rId4"/>
    <Relationship TargetMode="External" Target="https://www.legis.iowa.gov/docs/ico/chapter/556.pdf" Type="http://schemas.openxmlformats.org/officeDocument/2006/relationships/hyperlink" Id="rId5"/>
    <Relationship TargetMode="External" Target="https://www.legis.iowa.gov/docs/ico/chapter/556.pdf" Type="http://schemas.openxmlformats.org/officeDocument/2006/relationships/hyperlink" Id="rId6"/>
    <Relationship TargetMode="External" Target="https://www.legis.iowa.gov/docs/iac/rule/199.21.4.pdf" Type="http://schemas.openxmlformats.org/officeDocument/2006/relationships/hyperlink" Id="rId7"/>
    <Relationship TargetMode="External" Target="https://www.legis.iowa.gov/docs/iac/rule/199.21.12.pdf" Type="http://schemas.openxmlformats.org/officeDocument/2006/relationships/hyperlink" Id="rId8"/>
    <Relationship TargetMode="External" Target="https://www.legis.iowa.gov/docs/iac/rule/199.21.12.pdf" Type="http://schemas.openxmlformats.org/officeDocument/2006/relationships/hyperlink" Id="rId9"/>
    <Relationship TargetMode="External" Target="https://www.legis.iowa.gov/docs/iac/rule/199.21.12.pdf" Type="http://schemas.openxmlformats.org/officeDocument/2006/relationships/hyperlink" Id="rId10"/>
    <Relationship TargetMode="External" Target="https://www.legis.iowa.gov/docs/iac/rule/199.21.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