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sanitary sewage disposal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sanitary sewage. </w:t>
      </w:r>
      <w:r>
        <w:rPr>
          <w:rFonts w:ascii="Times New Roman" w:hAnsi="Times New Roman"/>
          <w:b w:val="false"/>
          <w:i w:val="false"/>
          <w:color w:val="000000"/>
          <w:sz w:val="22"/>
        </w:rPr>
        <w:t>All sanitary sewage disposal service sold by a utility shall be on the basis of metered measurement, except that the utility may at its option, pursuant to commission-approved tariffs, provide flat-rate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disposal at the sewage treatment plant of delivered sewage where the amount of sewage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access to the meter cannot be 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meter requirements. </w:t>
      </w:r>
      <w:r>
        <w:rPr>
          <w:rFonts w:ascii="Times New Roman" w:hAnsi="Times New Roman"/>
          <w:b w:val="false"/>
          <w:i w:val="false"/>
          <w:color w:val="000000"/>
          <w:sz w:val="22"/>
        </w:rPr>
        <w:t xml:space="preserve">Sanitary sewage disposal service provided by a utility may be based upon the amount of water used by the customer as measured pursuant to rule </w:t>
      </w:r>
      <w:hyperlink r:id="rId4">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 xml:space="preserve">(476) or separately metered in substantial conformity with the requirements of rule </w:t>
      </w:r>
      <w:hyperlink r:id="rId5">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(476). The method of measuring sanitary sewage disposal service will be filed in the utility’s tariff and approved by the commission. A proposed tariff that includes provisions for separate sanitary sewage meters will describe the circumstances under which separate meters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Customer classes. </w:t>
      </w:r>
      <w:r>
        <w:rPr>
          <w:rFonts w:ascii="Times New Roman" w:hAnsi="Times New Roman"/>
          <w:b w:val="false"/>
          <w:i w:val="false"/>
          <w:color w:val="000000"/>
          <w:sz w:val="22"/>
        </w:rPr>
        <w:t>In establishing customer classes, the utility may consider the characteristics of the sewage generated by that customer class and the existence of any industrial pretreatment agreements. Customer classes are established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of the costs of installing and removing the service in excess of any salvage realized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Sewage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Sewage meter installation. </w:t>
      </w:r>
      <w:r>
        <w:rPr>
          <w:rFonts w:ascii="Times New Roman" w:hAnsi="Times New Roman"/>
          <w:b w:val="false"/>
          <w:i w:val="false"/>
          <w:color w:val="000000"/>
          <w:sz w:val="22"/>
        </w:rPr>
        <w:t>Each sanitary sewage utility shall adopt a written standard method or a method preapproved by the commission for meter installation, copies of which shall be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sewage meters and associated metering devices. </w:t>
      </w:r>
      <w:r>
        <w:rPr>
          <w:rFonts w:ascii="Times New Roman" w:hAnsi="Times New Roman"/>
          <w:b w:val="false"/>
          <w:i w:val="false"/>
          <w:color w:val="000000"/>
          <w:sz w:val="22"/>
        </w:rPr>
        <w:t>Each sanitary sewage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shall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Sewage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Sewage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sewage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Readings and estimates in unusual situations. When a customer is connected or disconnected, or the regular meter reading date is substantially revised causing a given billing period to be longer or shorter than usual, such bills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 xml:space="preserve">A copy of the utility’s current rules, if any, published or furnished by the utility for the use of engineers, architects, plumbing contractors, etc., covering meter and service installation will be filed with the commission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shall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means a separate record established and maintained by the utility, which includes by depositor: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advance for construction provided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advance is by cash or surety bond or equivalent surety;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by surety bond, all relevant information concerning the bond or equivalent surety;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amount of refund, if any, to which the depositor is entitled;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refund, if any, which has been made to the customer;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amount unrefunded;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size of the facility to be used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size and type of equipment to be used by the customer;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Amount of service required or desired by the customer requesting the extension;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sanitary sewer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sewage treatment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sewer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less than or equal to five times the estimated annual revenue calculated on the basis of similarly situated customers, the utility will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sewer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will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sewer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 xml:space="preserve">Utilities do not need to make extensions as described in subrule </w:t>
      </w:r>
      <w:hyperlink r:id="rId6">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xml:space="preserv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7">
        <w:r>
          <w:rPr>
            <w:rStyle w:val="Hyperlink"/>
            <w:rFonts w:ascii="Times New Roman" w:hAnsi="Times New Roman"/>
            <w:b w:val="false"/>
            <w:i w:val="false"/>
            <w:color w:val="000000"/>
            <w:sz w:val="22"/>
          </w:rPr>
          <w:t>199—21.13</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8">
        <w:r>
          <w:rPr>
            <w:rStyle w:val="Hyperlink"/>
            <w:rFonts w:ascii="Times New Roman" w:hAnsi="Times New Roman"/>
            <w:b w:val="false"/>
            <w:i w:val="false"/>
            <w:color w:val="000000"/>
            <w:sz w:val="22"/>
          </w:rPr>
          <w:t>21.11(5)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21.11(6)</w:t>
      </w:r>
      <w:r>
        <w:rPr>
          <w:rFonts w:ascii="Times New Roman" w:hAnsi="Times New Roman"/>
          <w:b w:val="false"/>
          <w:i w:val="false"/>
          <w:color w:val="000000"/>
          <w:sz w:val="22"/>
        </w:rPr>
        <w:t> </w:t>
      </w:r>
      <w:r>
        <w:rPr>
          <w:rFonts w:ascii="Times New Roman" w:hAnsi="Times New Roman"/>
          <w:b w:val="false"/>
          <w:i/>
          <w:color w:val="000000"/>
          <w:sz w:val="22"/>
        </w:rPr>
        <w:t xml:space="preserve">Sanitary sewer service connections. </w:t>
      </w:r>
      <w:r>
        <w:rPr>
          <w:rFonts w:ascii="Times New Roman" w:hAnsi="Times New Roman"/>
          <w:b w:val="false"/>
          <w:i w:val="false"/>
          <w:color w:val="000000"/>
          <w:sz w:val="22"/>
        </w:rPr>
        <w:t>The utility will supervise the installation and maintenance of that portion of the sanitary sewer service line from the main to and including the customer’s meter or, if the customer does not have a separate meter for sanitary sewage disposal service, to the point where the sanitary sewage line exits the customer’s residence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1.3.pdf" Type="http://schemas.openxmlformats.org/officeDocument/2006/relationships/hyperlink" Id="rId4"/>
    <Relationship TargetMode="External" Target="https://www.legis.iowa.gov/docs/iac/rule/199.21.3.pdf" Type="http://schemas.openxmlformats.org/officeDocument/2006/relationships/hyperlink" Id="rId5"/>
    <Relationship TargetMode="External" Target="https://www.legis.iowa.gov/docs/iac/rule/199.21.11.pdf" Type="http://schemas.openxmlformats.org/officeDocument/2006/relationships/hyperlink" Id="rId6"/>
    <Relationship TargetMode="External" Target="https://www.legis.iowa.gov/docs/iac/rule/199.21.13.pdf" Type="http://schemas.openxmlformats.org/officeDocument/2006/relationships/hyperlink" Id="rId7"/>
    <Relationship TargetMode="External" Target="https://www.legis.iowa.gov/docs/iac/rule/199.21.1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