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199—21.1</w:t>
      </w:r>
      <w:r>
        <w:rPr>
          <w:rFonts w:ascii="Times New Roman" w:hAnsi="Times New Roman"/>
          <w:b/>
          <w:i w:val="false"/>
          <w:color w:val="000000"/>
          <w:sz w:val="22"/>
        </w:rPr>
        <w:t xml:space="preserve">(476) </w:t>
      </w:r>
      <w:r>
        <w:rPr>
          <w:rFonts w:ascii="Times New Roman" w:hAnsi="Times New Roman"/>
          <w:b/>
          <w:i w:val="false"/>
          <w:color w:val="000000"/>
          <w:sz w:val="22"/>
        </w:rPr>
        <w:t xml:space="preserve">Application of rules.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These rules establish standards of service to the public by utilities providing water by piped distribution systems and utilities providing sanitary sewage or storm water drainage disposal by piped collection systems that are subject to the jurisdiction of the Iowa utilities commission, and by providing standards for uniform practices by those utilities.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w:t>
      </w:r>
      <w:r>
        <w:rPr>
          <w:rFonts w:ascii="Times New Roman" w:hAnsi="Times New Roman"/>
          <w:b w:val="false"/>
          <w:i w:val="false"/>
          <w:color w:val="000000"/>
          <w:sz w:val="22"/>
        </w:rPr>
        <w:t> </w:t>
      </w:r>
      <w:r>
        <w:rPr>
          <w:rFonts w:ascii="Times New Roman" w:hAnsi="Times New Roman"/>
          <w:b w:val="false"/>
          <w:i/>
          <w:color w:val="000000"/>
          <w:sz w:val="22"/>
        </w:rPr>
        <w:t xml:space="preserve">Utility. </w:t>
      </w:r>
      <w:r>
        <w:rPr>
          <w:rFonts w:ascii="Times New Roman" w:hAnsi="Times New Roman"/>
          <w:b w:val="false"/>
          <w:i w:val="false"/>
          <w:color w:val="000000"/>
          <w:sz w:val="22"/>
        </w:rPr>
        <w:t xml:space="preserve">The term “utility” or “utilities,” when not more specifically described, means a water, sanitary sewage, or storm water drainage public utility as defined in Iowa Code section </w:t>
      </w:r>
      <w:hyperlink r:id="rId4">
        <w:r>
          <w:rPr>
            <w:rStyle w:val="Hyperlink"/>
            <w:rFonts w:ascii="Times New Roman" w:hAnsi="Times New Roman"/>
            <w:b w:val="false"/>
            <w:i w:val="false"/>
            <w:color w:val="000000"/>
            <w:sz w:val="22"/>
          </w:rPr>
          <w:t>476.1(2)</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xml:space="preserve"> The term does not include a county or an entity organized pursuant to Iowa Code chapter </w:t>
      </w:r>
      <w:hyperlink r:id="rId5">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 which is composed entirely of counties.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8846C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76.pdf" Type="http://schemas.openxmlformats.org/officeDocument/2006/relationships/hyperlink" Id="rId4"/>
    <Relationship TargetMode="External" Target="https://www.legis.iowa.gov/docs/ico/chapter/28E.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