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w:t>
      </w:r>
    </w:p>
    <w:p>
      <w:pPr>
        <w:spacing w:before="0" w:after="0"/>
        <w:ind w:left="120"/>
        <w:jc w:val="center"/>
      </w:pPr>
      <w:r>
        <w:rPr>
          <w:rFonts w:ascii="Times New Roman" w:hAnsi="Times New Roman"/>
          <w:b w:val="false"/>
          <w:i w:val="false"/>
          <w:color w:val="000000"/>
          <w:sz w:val="21"/>
        </w:rPr>
        <w:t>COURT APPOINTED SPECIAL ADVOCATE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489—4.1</w:t>
      </w:r>
      <w:r>
        <w:rPr>
          <w:rFonts w:ascii="Times New Roman" w:hAnsi="Times New Roman"/>
          <w:b/>
          <w:i w:val="false"/>
          <w:color w:val="000000"/>
          <w:sz w:val="22"/>
        </w:rPr>
        <w:t xml:space="preserve">(237)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The child advocacy board is required by Iowa Code section </w:t>
      </w:r>
      <w:hyperlink r:id="rId5">
        <w:r>
          <w:rPr>
            <w:rStyle w:val="Hyperlink"/>
            <w:rFonts w:ascii="Times New Roman" w:hAnsi="Times New Roman"/>
            <w:b w:val="false"/>
            <w:i w:val="false"/>
            <w:color w:val="000000"/>
            <w:sz w:val="22"/>
          </w:rPr>
          <w:t>237.18</w:t>
        </w:r>
      </w:hyperlink>
      <w:r>
        <w:rPr>
          <w:rFonts w:ascii="Times New Roman" w:hAnsi="Times New Roman"/>
          <w:b w:val="false"/>
          <w:i w:val="false"/>
          <w:color w:val="000000"/>
          <w:sz w:val="22"/>
        </w:rPr>
        <w:t xml:space="preserve"> to establish procedures and protocols for administering the court appointed special advocate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“Administrator” </w:t>
      </w:r>
      <w:r>
        <w:rPr>
          <w:rFonts w:ascii="Times New Roman" w:hAnsi="Times New Roman"/>
          <w:b w:val="false"/>
          <w:i w:val="false"/>
          <w:color w:val="000000"/>
          <w:sz w:val="22"/>
        </w:rPr>
        <w:t>means the person selected by the director to lead, direct and manage the staff and programs established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w:t>
      </w:r>
      <w:r>
        <w:rPr>
          <w:rFonts w:ascii="Times New Roman" w:hAnsi="Times New Roman"/>
          <w:b w:val="false"/>
          <w:i w:val="false"/>
          <w:color w:val="000000"/>
          <w:sz w:val="22"/>
        </w:rPr>
        <w:t>when used as a descriptor of a court appointed special advocate, means that an applicant has been determined by the child advocacy board to have the required qualifications to become a court appointed special advocate and has completed the application requirements, background checks, screening and selection process and training established pursuant to the rules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“Coach”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“CASA coach” </w:t>
      </w:r>
      <w:r>
        <w:rPr>
          <w:rFonts w:ascii="Times New Roman" w:hAnsi="Times New Roman"/>
          <w:b w:val="false"/>
          <w:i w:val="false"/>
          <w:color w:val="000000"/>
          <w:sz w:val="22"/>
        </w:rPr>
        <w:t>means a duly certified court appointed special advocate volunteer who has received additional training to assist the coordinator by overseeing facets of the court appointed special advocate’s case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“Coordinator” </w:t>
      </w:r>
      <w:r>
        <w:rPr>
          <w:rFonts w:ascii="Times New Roman" w:hAnsi="Times New Roman"/>
          <w:b w:val="false"/>
          <w:i w:val="false"/>
          <w:color w:val="000000"/>
          <w:sz w:val="22"/>
        </w:rPr>
        <w:t>means the staff member of the child advocacy board who is responsible for planning and implementation of the court appointed special advocate program in a county or cluster of counties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“Court appointed special advocate”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“CASA volunteer” </w:t>
      </w:r>
      <w:r>
        <w:rPr>
          <w:rFonts w:ascii="Times New Roman" w:hAnsi="Times New Roman"/>
          <w:b w:val="false"/>
          <w:i w:val="false"/>
          <w:color w:val="000000"/>
          <w:sz w:val="22"/>
        </w:rPr>
        <w:t xml:space="preserve">or </w:t>
      </w:r>
      <w:r>
        <w:rPr>
          <w:rFonts w:ascii="Times New Roman" w:hAnsi="Times New Roman"/>
          <w:b w:val="false"/>
          <w:i/>
          <w:color w:val="000000"/>
          <w:sz w:val="22"/>
        </w:rPr>
        <w:t>“CASA”</w:t>
      </w:r>
      <w:r>
        <w:rPr>
          <w:rFonts w:ascii="Times New Roman" w:hAnsi="Times New Roman"/>
          <w:b w:val="false"/>
          <w:i w:val="false"/>
          <w:color w:val="000000"/>
          <w:sz w:val="22"/>
        </w:rPr>
        <w:t xml:space="preserve"> or </w:t>
      </w:r>
      <w:r>
        <w:rPr>
          <w:rFonts w:ascii="Times New Roman" w:hAnsi="Times New Roman"/>
          <w:b w:val="false"/>
          <w:i/>
          <w:color w:val="000000"/>
          <w:sz w:val="22"/>
        </w:rPr>
        <w:t>“advocate”</w:t>
      </w:r>
      <w:r>
        <w:rPr>
          <w:rFonts w:ascii="Times New Roman" w:hAnsi="Times New Roman"/>
          <w:b w:val="false"/>
          <w:i w:val="false"/>
          <w:color w:val="000000"/>
          <w:sz w:val="22"/>
        </w:rPr>
        <w:t xml:space="preserve"> means a person who is duly certified by the child advocacy board for participation in the court appointed special advocate program and appointed by the court to represent the interest of a child in any judicial proceeding to which the child is a party or is called as a witness or relating to any dispositional order involving the child resulting from the proceeding. Unless otherwise enlarged or circumscribed by a court or juvenile court having jurisdiction over the child or by operation of law, the duties of a court appointed special advocate with respect to a child pursuant to Iowa Code section 237.24 as enacted by </w:t>
      </w:r>
      <w:r>
        <w:rPr>
          <w:rFonts w:ascii="Times New Roman" w:hAnsi="Times New Roman"/>
          <w:b w:val="false"/>
          <w:i w:val="false"/>
          <w:color w:val="000000"/>
          <w:sz w:val="22"/>
        </w:rPr>
        <w:t>2022 Iowa Acts, House File 2390</w:t>
      </w:r>
      <w:r>
        <w:rPr>
          <w:rFonts w:ascii="Times New Roman" w:hAnsi="Times New Roman"/>
          <w:b w:val="false"/>
          <w:i w:val="false"/>
          <w:color w:val="000000"/>
          <w:sz w:val="22"/>
        </w:rPr>
        <w:t>, section 15, shall include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Conducting in-person interviews with the child every 30 days, if the child’s age is appropriate for the interview, and interviewing each parent, guardian, or other person having custody of the child, if authorized by counsel.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Visiting the home, residence, or both home and residence of the child and any prospective home or residence of the child, including each time placement is changed.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Interviewing any person providing medical, mental health, social, educational, or other services to the child.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Obtaining firsthand knowledge, if possible, of the facts, circumstances, and parties involved in the matter in which the court appointed special advocate is appointed.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Attending any depositions, hearings, and trial proceedings in the matter in which the court appointed special advocate is appointed for the purpose of supporting the child and advocating for the child’s protection. </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Assisting the transition committee in the development of a transition plan if the child’s case permanency plan calls for the development of a transition plan.</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 xml:space="preserve">Submitting a written report to the juvenile court and to each of the parties identified in Iowa Code section </w:t>
      </w:r>
      <w:hyperlink r:id="rId6">
        <w:r>
          <w:rPr>
            <w:rStyle w:val="Hyperlink"/>
            <w:rFonts w:ascii="Times New Roman" w:hAnsi="Times New Roman"/>
            <w:b w:val="false"/>
            <w:i w:val="false"/>
            <w:color w:val="000000"/>
            <w:sz w:val="22"/>
          </w:rPr>
          <w:t>237.21(4)</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2022 Iowa Acts, House File 2390</w:t>
      </w:r>
      <w:r>
        <w:rPr>
          <w:rFonts w:ascii="Times New Roman" w:hAnsi="Times New Roman"/>
          <w:b w:val="false"/>
          <w:i w:val="false"/>
          <w:color w:val="000000"/>
          <w:sz w:val="22"/>
        </w:rPr>
        <w:t>, section 13, prior to each court hearing, unless otherwise ordered by the court. The report shall include, but not be limited to, the identified strengths and concerns of the child and the child’s family, along with recommendations about the child’s placement and best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w:t>
      </w:r>
      <w:r>
        <w:rPr>
          <w:rFonts w:ascii="Times New Roman" w:hAnsi="Times New Roman"/>
          <w:b w:val="false"/>
          <w:i w:val="false"/>
          <w:color w:val="000000"/>
          <w:sz w:val="22"/>
        </w:rPr>
        <w:t> </w:t>
      </w:r>
      <w:r>
        <w:rPr>
          <w:rFonts w:ascii="Times New Roman" w:hAnsi="Times New Roman"/>
          <w:b w:val="false"/>
          <w:i/>
          <w:color w:val="000000"/>
          <w:sz w:val="22"/>
        </w:rPr>
        <w:t xml:space="preserve">Program mission. </w:t>
      </w:r>
      <w:r>
        <w:rPr>
          <w:rFonts w:ascii="Times New Roman" w:hAnsi="Times New Roman"/>
          <w:b w:val="false"/>
          <w:i w:val="false"/>
          <w:color w:val="000000"/>
          <w:sz w:val="22"/>
        </w:rPr>
        <w:t>CASA of Iowa trains and supports community volunteers to advocate for a safe and permanent home for children who have experienced abuse and neglect, and works collaboratively to ensure their voice is heard.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w:t>
      </w:r>
      <w:r>
        <w:rPr>
          <w:rFonts w:ascii="Times New Roman" w:hAnsi="Times New Roman"/>
          <w:b w:val="false"/>
          <w:i w:val="false"/>
          <w:color w:val="000000"/>
          <w:sz w:val="22"/>
        </w:rPr>
        <w:t> </w:t>
      </w:r>
      <w:r>
        <w:rPr>
          <w:rFonts w:ascii="Times New Roman" w:hAnsi="Times New Roman"/>
          <w:b w:val="false"/>
          <w:i/>
          <w:color w:val="000000"/>
          <w:sz w:val="22"/>
        </w:rPr>
        <w:t xml:space="preserve">Program goal. </w:t>
      </w:r>
      <w:r>
        <w:rPr>
          <w:rFonts w:ascii="Times New Roman" w:hAnsi="Times New Roman"/>
          <w:b w:val="false"/>
          <w:i w:val="false"/>
          <w:color w:val="000000"/>
          <w:sz w:val="22"/>
        </w:rPr>
        <w:t>The CASA program will provide certified advocates for every child who has experienced abuse or neglect and for whom an advocate is authorized by an Iowa court.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237.18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1375C</w:t>
      </w:r>
      <w:r>
        <w:rPr>
          <w:rFonts w:ascii="Times New Roman" w:hAnsi="Times New Roman"/>
          <w:b w:val="false"/>
          <w:i w:val="false"/>
          <w:color w:val="000000"/>
          <w:sz w:val="16"/>
        </w:rPr>
        <w:t>, IAB 3/19/14, effective 4/23/14</w:t>
      </w:r>
      <w:r>
        <w:rPr>
          <w:rFonts w:ascii="Times New Roman" w:hAnsi="Times New Roman"/>
          <w:b w:val="false"/>
          <w:i w:val="false"/>
          <w:color w:val="000000"/>
          <w:sz w:val="16"/>
        </w:rPr>
        <w:t xml:space="preserve">; </w:t>
      </w:r>
      <w:r>
        <w:rPr>
          <w:rFonts w:ascii="Times New Roman" w:hAnsi="Times New Roman"/>
          <w:b/>
          <w:i w:val="false"/>
          <w:color w:val="000000"/>
          <w:sz w:val="16"/>
        </w:rPr>
        <w:t>ARC 6676C</w:t>
      </w:r>
      <w:r>
        <w:rPr>
          <w:rFonts w:ascii="Times New Roman" w:hAnsi="Times New Roman"/>
          <w:b w:val="false"/>
          <w:i w:val="false"/>
          <w:color w:val="000000"/>
          <w:sz w:val="16"/>
        </w:rPr>
        <w:t>, IAB 11/16/22, effective 12/21/22</w:t>
      </w:r>
      <w:r>
        <w:rPr>
          <w:rFonts w:ascii="Times New Roman" w:hAnsi="Times New Roman"/>
          <w:b w:val="false"/>
          <w:i w:val="false"/>
          <w:color w:val="000000"/>
          <w:sz w:val="16"/>
        </w:rPr>
        <w:t xml:space="preserve">; </w:t>
      </w:r>
      <w:r>
        <w:rPr>
          <w:rFonts w:ascii="Times New Roman" w:hAnsi="Times New Roman"/>
          <w:b/>
          <w:i w:val="false"/>
          <w:color w:val="000000"/>
          <w:sz w:val="16"/>
        </w:rPr>
        <w:t>ARC 7698C</w:t>
      </w:r>
      <w:r>
        <w:rPr>
          <w:rFonts w:ascii="Times New Roman" w:hAnsi="Times New Roman"/>
          <w:b w:val="false"/>
          <w:i w:val="false"/>
          <w:color w:val="000000"/>
          <w:sz w:val="16"/>
        </w:rPr>
        <w:t>, IAB 3/6/24,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see correction note at end of chapter]</w:t>
      </w:r>
    </w:p>
    <w:p>
      <w:pPr>
        <w:spacing w:before="0" w:after="0"/>
        <w:ind w:left="120"/>
        <w:jc w:val="both"/>
      </w:pPr>
      <w:r>
        <w:rPr>
          <w:rFonts w:ascii="Times New Roman" w:hAnsi="Times New Roman"/>
          <w:b/>
          <w:i w:val="false"/>
          <w:color w:val="000000"/>
          <w:sz w:val="22"/>
        </w:rPr>
        <w:t>489—4.2</w:t>
      </w:r>
      <w:r>
        <w:rPr>
          <w:rFonts w:ascii="Times New Roman" w:hAnsi="Times New Roman"/>
          <w:b/>
          <w:i w:val="false"/>
          <w:color w:val="000000"/>
          <w:sz w:val="22"/>
        </w:rPr>
        <w:t xml:space="preserve">(237) </w:t>
      </w:r>
      <w:r>
        <w:rPr>
          <w:rFonts w:ascii="Times New Roman" w:hAnsi="Times New Roman"/>
          <w:b/>
          <w:i w:val="false"/>
          <w:color w:val="000000"/>
          <w:sz w:val="22"/>
        </w:rPr>
        <w:t xml:space="preserve">Program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w:t>
      </w:r>
      <w:r>
        <w:rPr>
          <w:rFonts w:ascii="Times New Roman" w:hAnsi="Times New Roman"/>
          <w:b w:val="false"/>
          <w:i w:val="false"/>
          <w:color w:val="000000"/>
          <w:sz w:val="22"/>
        </w:rPr>
        <w:t> </w:t>
      </w:r>
      <w:r>
        <w:rPr>
          <w:rFonts w:ascii="Times New Roman" w:hAnsi="Times New Roman"/>
          <w:b w:val="false"/>
          <w:i/>
          <w:color w:val="000000"/>
          <w:sz w:val="22"/>
        </w:rPr>
        <w:t xml:space="preserve">Establishing additional procedures and protocols.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state board is responsible for establishment of procedures and protocols consistent with the Iowa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Responsibility is delegated by the state board to the administrator to establish and submit to the board for approval a program policy and procedures manual that provides detailed guidance to child advocacy board staff and volunteers on application of these rules and the statutes that govern the operation of the court appointed special advocate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Child advocacy board staff and volunteers are required to comply with the protocols and procedures established by the state board and the provisions of the policy and procedures manual established by the administrator and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Day-to-day implementation of program policy is delegated by the state board to administrative staff. Staff is responsible for bringing questions about policy issues to the state board for clarification or changes of state policy.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w:t>
      </w:r>
      <w:r>
        <w:rPr>
          <w:rFonts w:ascii="Times New Roman" w:hAnsi="Times New Roman"/>
          <w:b w:val="false"/>
          <w:i w:val="false"/>
          <w:color w:val="000000"/>
          <w:sz w:val="22"/>
        </w:rPr>
        <w:t> </w:t>
      </w:r>
      <w:r>
        <w:rPr>
          <w:rFonts w:ascii="Times New Roman" w:hAnsi="Times New Roman"/>
          <w:b w:val="false"/>
          <w:i/>
          <w:color w:val="000000"/>
          <w:sz w:val="22"/>
        </w:rPr>
        <w:t xml:space="preserve">Operation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state board delegates responsibility to the administrator to hire, train, and manage staff throughout the state to implement CASA programming. The administrator shall determine the number of court appointed special advocates or coaches an individual coordinator may supervise.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state board delegates responsibility to the administrator to provide additional information or guidance in the program’s policy and procedures manual regarding the analysis of applicant qualifications and requirements for the final selection of CASA volunteers and coaches.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coordinator is responsible for recruiting, screening, selecting, training and supervising court appointed special advocates.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CASA selection is made in a manner that provides the best match available between the knowledge, skills, abilities, and availability of the advocate and the needs of the child. The assignments shall be made in a manner that avoids conflicts of interest, risk to the child’s or advocate’s safety, and jeopardy to the program’s integrity.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Upon selection of the CASA who will serve on an individual case, the court and all interested parties are notified of the selection.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selected CASA continues to serve on the case until the assignment is terminated by the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w:t>
      </w:r>
      <w:r>
        <w:rPr>
          <w:rFonts w:ascii="Times New Roman" w:hAnsi="Times New Roman"/>
          <w:b w:val="false"/>
          <w:i w:val="false"/>
          <w:color w:val="000000"/>
          <w:sz w:val="22"/>
        </w:rPr>
        <w:t> </w:t>
      </w:r>
      <w:r>
        <w:rPr>
          <w:rFonts w:ascii="Times New Roman" w:hAnsi="Times New Roman"/>
          <w:b w:val="false"/>
          <w:i/>
          <w:color w:val="000000"/>
          <w:sz w:val="22"/>
        </w:rPr>
        <w:t xml:space="preserve">CASA advocate qualifications. </w:t>
      </w:r>
      <w:r>
        <w:rPr>
          <w:rFonts w:ascii="Times New Roman" w:hAnsi="Times New Roman"/>
          <w:b w:val="false"/>
          <w:i w:val="false"/>
          <w:color w:val="000000"/>
          <w:sz w:val="22"/>
        </w:rPr>
        <w:t>Potential coaches and advocates shall meet the following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Possess a genuine interest in advocating for children and their rights and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availability to complete mandatory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Commit to serve on a case until terminated by the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Have the ability to interact with persons involved in the child welfare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Have the ability to communicate effectively both in verbal and written presentations.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Be at least 19 years of age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Not be a person employed by the state board, the department of health and human services, the district court, or an agency with which the department of health and human services contracts for services for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Agree to use the child advocacy board’s data management system for case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4.2(4)</w:t>
      </w:r>
      <w:r>
        <w:rPr>
          <w:rFonts w:ascii="Times New Roman" w:hAnsi="Times New Roman"/>
          <w:b w:val="false"/>
          <w:i w:val="false"/>
          <w:color w:val="000000"/>
          <w:sz w:val="22"/>
        </w:rPr>
        <w:t> </w:t>
      </w:r>
      <w:r>
        <w:rPr>
          <w:rFonts w:ascii="Times New Roman" w:hAnsi="Times New Roman"/>
          <w:b w:val="false"/>
          <w:i/>
          <w:color w:val="000000"/>
          <w:sz w:val="22"/>
        </w:rPr>
        <w:t xml:space="preserve">Application requirements for CASA volunteers. </w:t>
      </w:r>
      <w:r>
        <w:rPr>
          <w:rFonts w:ascii="Times New Roman" w:hAnsi="Times New Roman"/>
          <w:b w:val="false"/>
          <w:i w:val="false"/>
          <w:color w:val="000000"/>
          <w:sz w:val="22"/>
        </w:rPr>
        <w:t>All CASA volunteer applicants shall complete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Submit a program application to the program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 the names and addresses of at least three nonrelative personal references.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Participate in at least one personal interview with the local coordinator.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Complete mandatory CASA preservice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Take a confidentiality oath, administered by the presiding juvenile court judge, or designee, for whom the CASA will be performing official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Authorize a release of information for the CASA program to conduct a complete criminal history check of the applicant’s background, including, but not limited to, checking records in the court jurisdiction in which the applicant has resided, state criminal records, Federal Bureau of Investigation or other national criminal database, sex offender registry, child abuse registry, and social security number verification. Applicants who refuse to sign required background check releases will not be considered for the CASA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Individuals with a negative background check finding may be approved to be a court appointed special advocate in accordance with the CASA of Iowa child abuse registry/criminal background check exemption policy.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237.18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6676C</w:t>
      </w:r>
      <w:r>
        <w:rPr>
          <w:rFonts w:ascii="Times New Roman" w:hAnsi="Times New Roman"/>
          <w:b w:val="false"/>
          <w:i w:val="false"/>
          <w:color w:val="000000"/>
          <w:sz w:val="16"/>
        </w:rPr>
        <w:t>, IAB 11/16/22, effective 12/21/22</w:t>
      </w:r>
      <w:r>
        <w:rPr>
          <w:rFonts w:ascii="Times New Roman" w:hAnsi="Times New Roman"/>
          <w:b w:val="false"/>
          <w:i w:val="false"/>
          <w:color w:val="000000"/>
          <w:sz w:val="16"/>
        </w:rPr>
        <w:t xml:space="preserve">; </w:t>
      </w:r>
      <w:r>
        <w:rPr>
          <w:rFonts w:ascii="Times New Roman" w:hAnsi="Times New Roman"/>
          <w:b/>
          <w:i w:val="false"/>
          <w:color w:val="000000"/>
          <w:sz w:val="16"/>
        </w:rPr>
        <w:t>ARC 7698C</w:t>
      </w:r>
      <w:r>
        <w:rPr>
          <w:rFonts w:ascii="Times New Roman" w:hAnsi="Times New Roman"/>
          <w:b w:val="false"/>
          <w:i w:val="false"/>
          <w:color w:val="000000"/>
          <w:sz w:val="16"/>
        </w:rPr>
        <w:t>, IAB 3/6/24,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see correction note at end of chapter]</w:t>
      </w:r>
    </w:p>
    <w:p>
      <w:pPr>
        <w:spacing w:before="0" w:after="0"/>
        <w:ind w:left="120"/>
        <w:jc w:val="both"/>
      </w:pPr>
      <w:r>
        <w:rPr>
          <w:rFonts w:ascii="Times New Roman" w:hAnsi="Times New Roman"/>
          <w:b/>
          <w:i w:val="false"/>
          <w:color w:val="000000"/>
          <w:sz w:val="22"/>
        </w:rPr>
        <w:t>489—4.3</w:t>
      </w:r>
      <w:r>
        <w:rPr>
          <w:rFonts w:ascii="Times New Roman" w:hAnsi="Times New Roman"/>
          <w:b/>
          <w:i w:val="false"/>
          <w:color w:val="000000"/>
          <w:sz w:val="22"/>
        </w:rPr>
        <w:t xml:space="preserve">(237) </w:t>
      </w:r>
      <w:r>
        <w:rPr>
          <w:rFonts w:ascii="Times New Roman" w:hAnsi="Times New Roman"/>
          <w:b/>
          <w:i w:val="false"/>
          <w:color w:val="000000"/>
          <w:sz w:val="22"/>
        </w:rPr>
        <w:t xml:space="preserve">Training. </w:t>
      </w:r>
      <w:r>
        <w:rPr>
          <w:rFonts w:ascii="Times New Roman" w:hAnsi="Times New Roman"/>
          <w:b w:val="false"/>
          <w:i w:val="false"/>
          <w:color w:val="000000"/>
          <w:sz w:val="22"/>
        </w:rPr>
        <w:t>All child advocacy board staff and court appointed special advocate volunteers shall complete preservice and continuing education requirements.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1">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237.18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6676C</w:t>
      </w:r>
      <w:r>
        <w:rPr>
          <w:rFonts w:ascii="Times New Roman" w:hAnsi="Times New Roman"/>
          <w:b w:val="false"/>
          <w:i w:val="false"/>
          <w:color w:val="000000"/>
          <w:sz w:val="16"/>
        </w:rPr>
        <w:t>, IAB 11/16/22, effective 12/21/22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489—4.4</w:t>
      </w:r>
      <w:r>
        <w:rPr>
          <w:rFonts w:ascii="Times New Roman" w:hAnsi="Times New Roman"/>
          <w:b/>
          <w:i w:val="false"/>
          <w:color w:val="000000"/>
          <w:sz w:val="22"/>
        </w:rPr>
        <w:t xml:space="preserve">(237) </w:t>
      </w:r>
      <w:r>
        <w:rPr>
          <w:rFonts w:ascii="Times New Roman" w:hAnsi="Times New Roman"/>
          <w:b/>
          <w:i w:val="false"/>
          <w:color w:val="000000"/>
          <w:sz w:val="22"/>
        </w:rPr>
        <w:t xml:space="preserve">Adherence to national guidelines. </w:t>
      </w:r>
      <w:r>
        <w:rPr>
          <w:rFonts w:ascii="Times New Roman" w:hAnsi="Times New Roman"/>
          <w:b w:val="false"/>
          <w:i w:val="false"/>
          <w:color w:val="000000"/>
          <w:sz w:val="22"/>
        </w:rPr>
        <w:t>The National Court Appointed Special Advocate/Guardian ad Litem Association for Children has established a national quality assurance system for CASA programs. The primary goal of the system is to strengthen CASA organizations and support their efforts to provide high-quality child advocacy and achieve the maximum level of excellence. CASA of Iowa shall continue to maintain compliance with the standards and, within the limits of available funding, shall deploy resources to maintain compliance in the future.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3">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237.18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1375C</w:t>
      </w:r>
      <w:r>
        <w:rPr>
          <w:rFonts w:ascii="Times New Roman" w:hAnsi="Times New Roman"/>
          <w:b w:val="false"/>
          <w:i w:val="false"/>
          <w:color w:val="000000"/>
          <w:sz w:val="16"/>
        </w:rPr>
        <w:t>, IAB 3/19/14, effective 4/23/14</w:t>
      </w:r>
      <w:r>
        <w:rPr>
          <w:rFonts w:ascii="Times New Roman" w:hAnsi="Times New Roman"/>
          <w:b w:val="false"/>
          <w:i w:val="false"/>
          <w:color w:val="000000"/>
          <w:sz w:val="16"/>
        </w:rPr>
        <w:t xml:space="preserve">; </w:t>
      </w:r>
      <w:r>
        <w:rPr>
          <w:rFonts w:ascii="Times New Roman" w:hAnsi="Times New Roman"/>
          <w:b/>
          <w:i w:val="false"/>
          <w:color w:val="000000"/>
          <w:sz w:val="16"/>
        </w:rPr>
        <w:t>ARC 6676C</w:t>
      </w:r>
      <w:r>
        <w:rPr>
          <w:rFonts w:ascii="Times New Roman" w:hAnsi="Times New Roman"/>
          <w:b w:val="false"/>
          <w:i w:val="false"/>
          <w:color w:val="000000"/>
          <w:sz w:val="16"/>
        </w:rPr>
        <w:t>, IAB 11/16/22, effective 12/21/22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489—4.5</w:t>
      </w:r>
      <w:r>
        <w:rPr>
          <w:rFonts w:ascii="Times New Roman" w:hAnsi="Times New Roman"/>
          <w:b/>
          <w:i w:val="false"/>
          <w:color w:val="000000"/>
          <w:sz w:val="22"/>
        </w:rPr>
        <w:t xml:space="preserve">(237) </w:t>
      </w:r>
      <w:r>
        <w:rPr>
          <w:rFonts w:ascii="Times New Roman" w:hAnsi="Times New Roman"/>
          <w:b/>
          <w:i w:val="false"/>
          <w:color w:val="000000"/>
          <w:sz w:val="22"/>
        </w:rPr>
        <w:t xml:space="preserve">Children eligible for assignment of a court appointed special advocate. </w:t>
      </w:r>
      <w:r>
        <w:rPr>
          <w:rFonts w:ascii="Times New Roman" w:hAnsi="Times New Roman"/>
          <w:b w:val="false"/>
          <w:i w:val="false"/>
          <w:color w:val="000000"/>
          <w:sz w:val="22"/>
        </w:rPr>
        <w:t>CASA of Iowa serves any child for whom the court appoints a court appointed special advocate as long as the resources to do so are available.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5">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237.18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1375C</w:t>
      </w:r>
      <w:r>
        <w:rPr>
          <w:rFonts w:ascii="Times New Roman" w:hAnsi="Times New Roman"/>
          <w:b w:val="false"/>
          <w:i w:val="false"/>
          <w:color w:val="000000"/>
          <w:sz w:val="16"/>
        </w:rPr>
        <w:t>, IAB 3/19/14, effective 4/23/14</w:t>
      </w:r>
      <w:r>
        <w:rPr>
          <w:rFonts w:ascii="Times New Roman" w:hAnsi="Times New Roman"/>
          <w:b w:val="false"/>
          <w:i w:val="false"/>
          <w:color w:val="000000"/>
          <w:sz w:val="16"/>
        </w:rPr>
        <w:t xml:space="preserve">; </w:t>
      </w:r>
      <w:r>
        <w:rPr>
          <w:rFonts w:ascii="Times New Roman" w:hAnsi="Times New Roman"/>
          <w:b/>
          <w:i w:val="false"/>
          <w:color w:val="000000"/>
          <w:sz w:val="16"/>
        </w:rPr>
        <w:t>ARC 6676C</w:t>
      </w:r>
      <w:r>
        <w:rPr>
          <w:rFonts w:ascii="Times New Roman" w:hAnsi="Times New Roman"/>
          <w:b w:val="false"/>
          <w:i w:val="false"/>
          <w:color w:val="000000"/>
          <w:sz w:val="16"/>
        </w:rPr>
        <w:t>, IAB 11/16/22, effective 12/21/22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489—4.6</w:t>
      </w:r>
      <w:r>
        <w:rPr>
          <w:rFonts w:ascii="Times New Roman" w:hAnsi="Times New Roman"/>
          <w:b/>
          <w:i w:val="false"/>
          <w:color w:val="000000"/>
          <w:sz w:val="22"/>
        </w:rPr>
        <w:t xml:space="preserve">(237) </w:t>
      </w:r>
      <w:r>
        <w:rPr>
          <w:rFonts w:ascii="Times New Roman" w:hAnsi="Times New Roman"/>
          <w:b/>
          <w:i w:val="false"/>
          <w:color w:val="000000"/>
          <w:sz w:val="22"/>
        </w:rPr>
        <w:t xml:space="preserve">Annual program report. </w:t>
      </w:r>
      <w:r>
        <w:rPr>
          <w:rFonts w:ascii="Times New Roman" w:hAnsi="Times New Roman"/>
          <w:b w:val="false"/>
          <w:i w:val="false"/>
          <w:color w:val="000000"/>
          <w:sz w:val="22"/>
        </w:rPr>
        <w:t>The child advocacy board shall issue an annual report to the general assembly, the governor and the supreme court. The report shall provide information about the number of volunteers providing service through the court appointed special advocate program, the number of children served by the program, and the benefits children and their families have obtained from the program.</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7">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237.18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1375C</w:t>
      </w:r>
      <w:r>
        <w:rPr>
          <w:rFonts w:ascii="Times New Roman" w:hAnsi="Times New Roman"/>
          <w:b w:val="false"/>
          <w:i w:val="false"/>
          <w:color w:val="000000"/>
          <w:sz w:val="16"/>
        </w:rPr>
        <w:t>, IAB 3/19/14, effective 4/23/14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ARC 1375C</w:t>
      </w:r>
      <w:r>
        <w:rPr>
          <w:rFonts w:ascii="Times New Roman" w:hAnsi="Times New Roman"/>
          <w:b w:val="false"/>
          <w:i w:val="false"/>
          <w:color w:val="000000"/>
          <w:sz w:val="21"/>
        </w:rPr>
        <w:t xml:space="preserve"> (Notice ARC 1285C, IAB 1/8/14)</w:t>
      </w:r>
      <w:r>
        <w:rPr>
          <w:rFonts w:ascii="Times New Roman" w:hAnsi="Times New Roman"/>
          <w:b w:val="false"/>
          <w:i w:val="false"/>
          <w:color w:val="000000"/>
          <w:sz w:val="21"/>
        </w:rPr>
        <w:t>, IAB 3/19/14, effective 4/23/14]</w:t>
      </w:r>
    </w:p>
    <w:p>
      <w:pPr>
        <w:spacing w:before="0" w:after="0"/>
        <w:ind w:left="120"/>
        <w:jc w:val="center"/>
      </w:pPr>
      <w:r>
        <w:rPr>
          <w:rFonts w:ascii="Times New Roman" w:hAnsi="Times New Roman"/>
          <w:b w:val="false"/>
          <w:i w:val="false"/>
          <w:color w:val="000000"/>
          <w:sz w:val="21"/>
        </w:rPr>
        <w:t>[Filed ARC 6676C</w:t>
      </w:r>
      <w:r>
        <w:rPr>
          <w:rFonts w:ascii="Times New Roman" w:hAnsi="Times New Roman"/>
          <w:b w:val="false"/>
          <w:i w:val="false"/>
          <w:color w:val="000000"/>
          <w:sz w:val="21"/>
        </w:rPr>
        <w:t xml:space="preserve"> (Notice ARC 6544C, IAB 9/21/22)</w:t>
      </w:r>
      <w:r>
        <w:rPr>
          <w:rFonts w:ascii="Times New Roman" w:hAnsi="Times New Roman"/>
          <w:b w:val="false"/>
          <w:i w:val="false"/>
          <w:color w:val="000000"/>
          <w:sz w:val="21"/>
        </w:rPr>
        <w:t>, IAB 11/16/22, effective 12/21/22]</w:t>
      </w:r>
    </w:p>
    <w:p>
      <w:pPr>
        <w:spacing w:before="0" w:after="0"/>
        <w:ind w:left="120"/>
        <w:jc w:val="center"/>
      </w:pPr>
      <w:r>
        <w:rPr>
          <w:rFonts w:ascii="Times New Roman" w:hAnsi="Times New Roman"/>
          <w:b w:val="false"/>
          <w:i w:val="false"/>
          <w:color w:val="000000"/>
          <w:sz w:val="21"/>
        </w:rPr>
        <w:t>[Filed ARC 7698C</w:t>
      </w:r>
      <w:r>
        <w:rPr>
          <w:rFonts w:ascii="Times New Roman" w:hAnsi="Times New Roman"/>
          <w:b w:val="false"/>
          <w:i w:val="false"/>
          <w:color w:val="000000"/>
          <w:sz w:val="21"/>
        </w:rPr>
        <w:t xml:space="preserve"> (Notice ARC 7065C, IAB 8/23/23)</w:t>
      </w:r>
      <w:r>
        <w:rPr>
          <w:rFonts w:ascii="Times New Roman" w:hAnsi="Times New Roman"/>
          <w:b w:val="false"/>
          <w:i w:val="false"/>
          <w:color w:val="000000"/>
          <w:sz w:val="21"/>
        </w:rPr>
        <w:t>, IAB 3/6/24, effective 7/1/24]</w:t>
      </w:r>
      <w:r>
        <w:rPr>
          <w:rFonts w:ascii="Times New Roman" w:hAnsi="Times New Roman"/>
          <w:b w:val="false"/>
          <w:i w:val="false"/>
          <w:color w:val="000000"/>
          <w:sz w:val="10"/>
        </w:rPr>
        <w:t>1</w:t>
      </w:r>
    </w:p>
    <w:p>
      <w:pPr>
        <w:spacing w:before="0" w:after="0"/>
        <w:ind w:left="120"/>
        <w:jc w:val="both"/>
      </w:pPr>
      <w:r>
        <w:rPr>
          <w:rFonts w:ascii="Times New Roman" w:hAnsi="Times New Roman"/>
          <w:b w:val="false"/>
          <w:i w:val="false"/>
          <w:color w:val="000000"/>
          <w:sz w:val="22"/>
        </w:rPr>
        <w:t xml:space="preserve">The effective date of </w:t>
      </w:r>
      <w:r>
        <w:rPr>
          <w:rFonts w:ascii="Times New Roman" w:hAnsi="Times New Roman"/>
          <w:b/>
          <w:i w:val="false"/>
          <w:color w:val="000000"/>
          <w:sz w:val="22"/>
        </w:rPr>
        <w:t>ARC 7698C</w:t>
      </w:r>
      <w:r>
        <w:rPr>
          <w:rFonts w:ascii="Times New Roman" w:hAnsi="Times New Roman"/>
          <w:b w:val="false"/>
          <w:i w:val="false"/>
          <w:color w:val="000000"/>
          <w:sz w:val="22"/>
        </w:rPr>
        <w:t xml:space="preserve"> was corrected to July 1, 2024, in the April 3, 2024, Iowa Administrative Bulletin.</w:t>
      </w:r>
    </w:p>
    <w:p>
      <w:pPr>
        <w:spacing w:before="0" w:after="0"/>
        <w:ind w:left="120"/>
        <w:jc w:val="both"/>
      </w:pP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37.18.pdf" Type="http://schemas.openxmlformats.org/officeDocument/2006/relationships/hyperlink" Id="rId5"/>
    <Relationship TargetMode="External" Target="https://www.legis.iowa.gov/docs/ico/chapter/237.21.pdf" Type="http://schemas.openxmlformats.org/officeDocument/2006/relationships/hyperlink" Id="rId6"/>
    <Relationship TargetMode="External" Target="https://www.legis.iowa.gov/docs/ico/chapter/17A.3.pdf" Type="http://schemas.openxmlformats.org/officeDocument/2006/relationships/hyperlink" Id="rId7"/>
    <Relationship TargetMode="External" Target="https://www.legis.iowa.gov/docs/ico/chapter/237.18.pdf" Type="http://schemas.openxmlformats.org/officeDocument/2006/relationships/hyperlink" Id="rId8"/>
    <Relationship TargetMode="External" Target="https://www.legis.iowa.gov/docs/ico/chapter/17A.3.pdf" Type="http://schemas.openxmlformats.org/officeDocument/2006/relationships/hyperlink" Id="rId9"/>
    <Relationship TargetMode="External" Target="https://www.legis.iowa.gov/docs/ico/chapter/237.18.pdf" Type="http://schemas.openxmlformats.org/officeDocument/2006/relationships/hyperlink" Id="rId10"/>
    <Relationship TargetMode="External" Target="https://www.legis.iowa.gov/docs/ico/chapter/17A.3.pdf" Type="http://schemas.openxmlformats.org/officeDocument/2006/relationships/hyperlink" Id="rId11"/>
    <Relationship TargetMode="External" Target="https://www.legis.iowa.gov/docs/ico/chapter/237.18.pdf" Type="http://schemas.openxmlformats.org/officeDocument/2006/relationships/hyperlink" Id="rId12"/>
    <Relationship TargetMode="External" Target="https://www.legis.iowa.gov/docs/ico/chapter/17A.3.pdf" Type="http://schemas.openxmlformats.org/officeDocument/2006/relationships/hyperlink" Id="rId13"/>
    <Relationship TargetMode="External" Target="https://www.legis.iowa.gov/docs/ico/chapter/237.18.pdf" Type="http://schemas.openxmlformats.org/officeDocument/2006/relationships/hyperlink" Id="rId14"/>
    <Relationship TargetMode="External" Target="https://www.legis.iowa.gov/docs/ico/chapter/17A.3.pdf" Type="http://schemas.openxmlformats.org/officeDocument/2006/relationships/hyperlink" Id="rId15"/>
    <Relationship TargetMode="External" Target="https://www.legis.iowa.gov/docs/ico/chapter/237.18.pdf" Type="http://schemas.openxmlformats.org/officeDocument/2006/relationships/hyperlink" Id="rId16"/>
    <Relationship TargetMode="External" Target="https://www.legis.iowa.gov/docs/ico/chapter/17A.3.pdf" Type="http://schemas.openxmlformats.org/officeDocument/2006/relationships/hyperlink" Id="rId17"/>
    <Relationship TargetMode="External" Target="https://www.legis.iowa.gov/docs/ico/chapter/237.18.pdf" Type="http://schemas.openxmlformats.org/officeDocument/2006/relationships/hyperlink"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