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LOCAL FOSTER CARE REVIEW BOARDS</w:t>
      </w:r>
    </w:p>
    <w:p>
      <w:pPr>
        <w:spacing w:before="0" w:after="0"/>
        <w:ind w:left="120"/>
        <w:jc w:val="center"/>
      </w:pPr>
      <w:r>
        <w:rPr>
          <w:rFonts w:ascii="Times New Roman" w:hAnsi="Times New Roman"/>
          <w:b w:val="false"/>
          <w:i w:val="false"/>
          <w:color w:val="000000"/>
          <w:sz w:val="14"/>
        </w:rPr>
        <w:t>[Prior to 3/23/88, see Foster Care Review Board[445] 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489—3.1</w:t>
      </w:r>
      <w:r>
        <w:rPr>
          <w:rFonts w:ascii="Times New Roman" w:hAnsi="Times New Roman"/>
          <w:b/>
          <w:i w:val="false"/>
          <w:color w:val="000000"/>
          <w:sz w:val="22"/>
        </w:rPr>
        <w:t xml:space="preserve">(237) </w:t>
      </w:r>
      <w:r>
        <w:rPr>
          <w:rFonts w:ascii="Times New Roman" w:hAnsi="Times New Roman"/>
          <w:b/>
          <w:i w:val="false"/>
          <w:color w:val="000000"/>
          <w:sz w:val="22"/>
        </w:rPr>
        <w:t xml:space="preserve">Local boards. </w:t>
      </w:r>
      <w:r>
        <w:rPr>
          <w:rFonts w:ascii="Times New Roman" w:hAnsi="Times New Roman"/>
          <w:b w:val="false"/>
          <w:i w:val="false"/>
          <w:color w:val="000000"/>
          <w:sz w:val="22"/>
        </w:rPr>
        <w:t>The child advocacy board shall establish local foster care boards throughout the state. The number of local boards needed and established shall be determined by the child advocacy board based on the number of children in foster care and available funding.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w:t>
      </w:r>
      <w:r>
        <w:rPr>
          <w:rFonts w:ascii="Times New Roman" w:hAnsi="Times New Roman"/>
          <w:b w:val="false"/>
          <w:i w:val="false"/>
          <w:color w:val="000000"/>
          <w:sz w:val="22"/>
        </w:rPr>
        <w:t> </w:t>
      </w:r>
      <w:r>
        <w:rPr>
          <w:rFonts w:ascii="Times New Roman" w:hAnsi="Times New Roman"/>
          <w:b w:val="false"/>
          <w:i w:val="false"/>
          <w:color w:val="000000"/>
          <w:sz w:val="22"/>
        </w:rPr>
        <w:t>The child advocacy board is responsible for establishment of policy and procedures consistent with the Iowa Code. Local boards are required to comply with policies and procedures. If a local board does not agree with a policy or procedure, the local board may bring that issue to the child advocacy board for discussion and request a change by the board. If the child advocacy board upholds the policy, local boards must comply.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w:t>
      </w:r>
      <w:r>
        <w:rPr>
          <w:rFonts w:ascii="Times New Roman" w:hAnsi="Times New Roman"/>
          <w:b w:val="false"/>
          <w:i w:val="false"/>
          <w:color w:val="000000"/>
          <w:sz w:val="22"/>
        </w:rPr>
        <w:t> </w:t>
      </w:r>
      <w:r>
        <w:rPr>
          <w:rFonts w:ascii="Times New Roman" w:hAnsi="Times New Roman"/>
          <w:b w:val="false"/>
          <w:i w:val="false"/>
          <w:color w:val="000000"/>
          <w:sz w:val="22"/>
        </w:rPr>
        <w:t>Day-to-day implementation of policy is delegated by the child advocacy board to administrative staff. Staff is responsible for bringing questions about policy issues to the child advocacy board for clarification or changes of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w:t>
      </w:r>
      <w:r>
        <w:rPr>
          <w:rFonts w:ascii="Times New Roman" w:hAnsi="Times New Roman"/>
          <w:b w:val="false"/>
          <w:i w:val="false"/>
          <w:color w:val="000000"/>
          <w:sz w:val="22"/>
        </w:rPr>
        <w:t> </w:t>
      </w:r>
      <w:r>
        <w:rPr>
          <w:rFonts w:ascii="Times New Roman" w:hAnsi="Times New Roman"/>
          <w:b w:val="false"/>
          <w:i w:val="false"/>
          <w:color w:val="000000"/>
          <w:sz w:val="22"/>
        </w:rPr>
        <w:t>Any written communication from a local review board or local board member, in the member’s capacity as a board member, to state officials or media shall be sent to the child advocacy board office and reviewed by the administrator prior to its release.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237.19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2322C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 xml:space="preserve">; </w:t>
      </w:r>
      <w:r>
        <w:rPr>
          <w:rFonts w:ascii="Times New Roman" w:hAnsi="Times New Roman"/>
          <w:b/>
          <w:i w:val="false"/>
          <w:color w:val="000000"/>
          <w:sz w:val="16"/>
        </w:rPr>
        <w:t>ARC 6676C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489—3.2</w:t>
      </w:r>
      <w:r>
        <w:rPr>
          <w:rFonts w:ascii="Times New Roman" w:hAnsi="Times New Roman"/>
          <w:b/>
          <w:i w:val="false"/>
          <w:color w:val="000000"/>
          <w:sz w:val="22"/>
        </w:rPr>
        <w:t xml:space="preserve">(237) </w:t>
      </w:r>
      <w:r>
        <w:rPr>
          <w:rFonts w:ascii="Times New Roman" w:hAnsi="Times New Roman"/>
          <w:b/>
          <w:i w:val="false"/>
          <w:color w:val="000000"/>
          <w:sz w:val="22"/>
        </w:rPr>
        <w:t xml:space="preserve">Membership.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w:t>
      </w:r>
      <w:r>
        <w:rPr>
          <w:rFonts w:ascii="Times New Roman" w:hAnsi="Times New Roman"/>
          <w:b w:val="false"/>
          <w:i w:val="false"/>
          <w:color w:val="000000"/>
          <w:sz w:val="22"/>
        </w:rPr>
        <w:t> </w:t>
      </w:r>
      <w:r>
        <w:rPr>
          <w:rFonts w:ascii="Times New Roman" w:hAnsi="Times New Roman"/>
          <w:b w:val="false"/>
          <w:i w:val="false"/>
          <w:color w:val="000000"/>
          <w:sz w:val="22"/>
        </w:rPr>
        <w:t>The child advocacy board delegates responsibility to the administrator to develop and for local board coordinators to implement an application, recruitment, screening and training process for appointments to vacated local board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process includes the coordinator’s conducting a personal interview with the applicant, obtaining character references, and completing background checks on the applicant.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process will include consultation between the coordinator and coordinator’s direct supervisor.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employed by the department of health and human services or the judicial department, an employee of an agency with which the department of health and human services contracts for services for children under foster care, a foster parent providing foster care, or a child-placing agency shall not serve on a local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w:t>
      </w:r>
      <w:r>
        <w:rPr>
          <w:rFonts w:ascii="Times New Roman" w:hAnsi="Times New Roman"/>
          <w:b w:val="false"/>
          <w:i w:val="false"/>
          <w:color w:val="000000"/>
          <w:sz w:val="22"/>
        </w:rPr>
        <w:t> </w:t>
      </w:r>
      <w:r>
        <w:rPr>
          <w:rFonts w:ascii="Times New Roman" w:hAnsi="Times New Roman"/>
          <w:b w:val="false"/>
          <w:i w:val="false"/>
          <w:color w:val="000000"/>
          <w:sz w:val="22"/>
        </w:rPr>
        <w:t xml:space="preserve">Vacancies on a local board shall be filled in the same manner as original appointments are made.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w:t>
      </w:r>
      <w:r>
        <w:rPr>
          <w:rFonts w:ascii="Times New Roman" w:hAnsi="Times New Roman"/>
          <w:b w:val="false"/>
          <w:i w:val="false"/>
          <w:color w:val="000000"/>
          <w:sz w:val="22"/>
        </w:rPr>
        <w:t> </w:t>
      </w:r>
      <w:r>
        <w:rPr>
          <w:rFonts w:ascii="Times New Roman" w:hAnsi="Times New Roman"/>
          <w:b w:val="false"/>
          <w:i w:val="false"/>
          <w:color w:val="000000"/>
          <w:sz w:val="22"/>
        </w:rPr>
        <w:t>The term of a local board member’s appointment shall not exceed four years. The child advocacy board shall fix the tenure of individual appointments so that no more than one-third of the membership’s terms expire in a given year. A local board member may serve continuous successive terms.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 develop a local board member evaluation process. The local board coordinator shall complete the evaluation process at least once for each local board member during the member’s four-year term. The local board coordinator, in consultation with the coordinator’s direct supervisor, shall consider the results of the evaluation when determining whether to approve reappointment of the local board member to a successive term. Prior to any reappointment, the member shall complete updated background checks and a progress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w:t>
      </w:r>
      <w:r>
        <w:rPr>
          <w:rFonts w:ascii="Times New Roman" w:hAnsi="Times New Roman"/>
          <w:b w:val="false"/>
          <w:i w:val="false"/>
          <w:color w:val="000000"/>
          <w:sz w:val="22"/>
        </w:rPr>
        <w:t> </w:t>
      </w:r>
      <w:r>
        <w:rPr>
          <w:rFonts w:ascii="Times New Roman" w:hAnsi="Times New Roman"/>
          <w:b w:val="false"/>
          <w:i w:val="false"/>
          <w:color w:val="000000"/>
          <w:sz w:val="22"/>
        </w:rPr>
        <w:t xml:space="preserve">A quorum is established when a majority of local review board members or alternates are present. A quorum shall be present before cases can be reviewed and recommendations are formulated.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237.19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2322C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 xml:space="preserve">; </w:t>
      </w:r>
      <w:r>
        <w:rPr>
          <w:rFonts w:ascii="Times New Roman" w:hAnsi="Times New Roman"/>
          <w:b/>
          <w:i w:val="false"/>
          <w:color w:val="000000"/>
          <w:sz w:val="16"/>
        </w:rPr>
        <w:t>ARC 6676C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 xml:space="preserve">; </w:t>
      </w:r>
      <w:r>
        <w:rPr>
          <w:rFonts w:ascii="Times New Roman" w:hAnsi="Times New Roman"/>
          <w:b/>
          <w:i w:val="false"/>
          <w:color w:val="000000"/>
          <w:sz w:val="16"/>
        </w:rPr>
        <w:t>ARC 7698C</w:t>
      </w:r>
      <w:r>
        <w:rPr>
          <w:rFonts w:ascii="Times New Roman" w:hAnsi="Times New Roman"/>
          <w:b w:val="false"/>
          <w:i w:val="false"/>
          <w:color w:val="000000"/>
          <w:sz w:val="16"/>
        </w:rPr>
        <w:t>, IAB 3/6/24,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see correction note at end of chapter]</w:t>
      </w:r>
    </w:p>
    <w:p>
      <w:pPr>
        <w:spacing w:before="210" w:after="0"/>
        <w:ind w:left="120"/>
        <w:jc w:val="both"/>
      </w:pPr>
      <w:r>
        <w:rPr>
          <w:rFonts w:ascii="Times New Roman" w:hAnsi="Times New Roman"/>
          <w:b/>
          <w:i w:val="false"/>
          <w:color w:val="000000"/>
          <w:sz w:val="22"/>
        </w:rPr>
        <w:t>489—3.3</w:t>
      </w:r>
      <w:r>
        <w:rPr>
          <w:rFonts w:ascii="Times New Roman" w:hAnsi="Times New Roman"/>
          <w:b/>
          <w:i w:val="false"/>
          <w:color w:val="000000"/>
          <w:sz w:val="22"/>
        </w:rPr>
        <w:t xml:space="preserve">(237) </w:t>
      </w:r>
      <w:r>
        <w:rPr>
          <w:rFonts w:ascii="Times New Roman" w:hAnsi="Times New Roman"/>
          <w:b/>
          <w:i w:val="false"/>
          <w:color w:val="000000"/>
          <w:sz w:val="22"/>
        </w:rPr>
        <w:t xml:space="preserve">Removal of a local board member. </w:t>
      </w:r>
      <w:r>
        <w:rPr>
          <w:rFonts w:ascii="Times New Roman" w:hAnsi="Times New Roman"/>
          <w:b w:val="false"/>
          <w:i w:val="false"/>
          <w:color w:val="000000"/>
          <w:sz w:val="22"/>
        </w:rPr>
        <w:t xml:space="preserve">Rescinded </w:t>
      </w:r>
      <w:r>
        <w:rPr>
          <w:rFonts w:ascii="Times New Roman" w:hAnsi="Times New Roman"/>
          <w:b/>
          <w:i w:val="false"/>
          <w:color w:val="000000"/>
          <w:sz w:val="22"/>
        </w:rPr>
        <w:t>ARC 6676C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11/16/22</w:t>
      </w:r>
      <w:r>
        <w:rPr>
          <w:rFonts w:ascii="Times New Roman" w:hAnsi="Times New Roman"/>
          <w:b w:val="false"/>
          <w:i w:val="false"/>
          <w:color w:val="000000"/>
          <w:sz w:val="22"/>
        </w:rPr>
        <w:t xml:space="preserve">, effective 12/21/22. </w:t>
      </w:r>
    </w:p>
    <w:p>
      <w:pPr>
        <w:spacing w:before="0" w:after="0"/>
        <w:ind w:left="120"/>
        <w:jc w:val="both"/>
      </w:pPr>
      <w:r>
        <w:rPr>
          <w:rFonts w:ascii="Times New Roman" w:hAnsi="Times New Roman"/>
          <w:b/>
          <w:i w:val="false"/>
          <w:color w:val="000000"/>
          <w:sz w:val="22"/>
        </w:rPr>
        <w:t>489—3.4</w:t>
      </w:r>
      <w:r>
        <w:rPr>
          <w:rFonts w:ascii="Times New Roman" w:hAnsi="Times New Roman"/>
          <w:b/>
          <w:i w:val="false"/>
          <w:color w:val="000000"/>
          <w:sz w:val="22"/>
        </w:rPr>
        <w:t xml:space="preserve">(237) </w:t>
      </w:r>
      <w:r>
        <w:rPr>
          <w:rFonts w:ascii="Times New Roman" w:hAnsi="Times New Roman"/>
          <w:b/>
          <w:i w:val="false"/>
          <w:color w:val="000000"/>
          <w:sz w:val="22"/>
        </w:rPr>
        <w:t xml:space="preserve">Duties of local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w:t>
      </w:r>
      <w:r>
        <w:rPr>
          <w:rFonts w:ascii="Times New Roman" w:hAnsi="Times New Roman"/>
          <w:b w:val="false"/>
          <w:i w:val="false"/>
          <w:color w:val="000000"/>
          <w:sz w:val="22"/>
        </w:rPr>
        <w:t> </w:t>
      </w:r>
      <w:r>
        <w:rPr>
          <w:rFonts w:ascii="Times New Roman" w:hAnsi="Times New Roman"/>
          <w:b w:val="false"/>
          <w:i w:val="false"/>
          <w:color w:val="000000"/>
          <w:sz w:val="22"/>
        </w:rPr>
        <w:t xml:space="preserve">Local board reviews. At least every six months, the case of each child receiving foster care assigned to a local board shall be reviewed in accordance with the written protocols adopted pursuant to Iowa Code section 237.16(4) as enacted by </w:t>
      </w:r>
      <w:r>
        <w:rPr>
          <w:rFonts w:ascii="Times New Roman" w:hAnsi="Times New Roman"/>
          <w:b w:val="false"/>
          <w:i w:val="false"/>
          <w:color w:val="000000"/>
          <w:sz w:val="22"/>
        </w:rPr>
        <w:t>2022 Iowa Acts, House File 2390</w:t>
      </w:r>
      <w:r>
        <w:rPr>
          <w:rFonts w:ascii="Times New Roman" w:hAnsi="Times New Roman"/>
          <w:b w:val="false"/>
          <w:i w:val="false"/>
          <w:color w:val="000000"/>
          <w:sz w:val="22"/>
        </w:rPr>
        <w:t xml:space="preserve">, section 3, to determine whether satisfactory progress is being made towards the goals of the case permanency plan pursuant to Iowa Code section </w:t>
      </w:r>
      <w:hyperlink r:id="rId9">
        <w:r>
          <w:rPr>
            <w:rStyle w:val="Hyperlink"/>
            <w:rFonts w:ascii="Times New Roman" w:hAnsi="Times New Roman"/>
            <w:b w:val="false"/>
            <w:i w:val="false"/>
            <w:color w:val="000000"/>
            <w:sz w:val="22"/>
          </w:rPr>
          <w:t>237.2</w:t>
        </w:r>
      </w:hyperlink>
      <w:r>
        <w:rPr>
          <w:rFonts w:ascii="Times New Roman" w:hAnsi="Times New Roman"/>
          <w:b w:val="false"/>
          <w:i w:val="false"/>
          <w:color w:val="000000"/>
          <w:sz w:val="22"/>
        </w:rPr>
        <w:t>. Whenever possible, reviews shall be conducted prior to court review of the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review will consider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past, current, and future status of the child and placement as shown through the case permanency plan and case progress reports submitted by the agency responsible for the placement of the child and other information the board may require.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efforts of the agency responsible for the placement of the child to locate and provide services to the child’s biological or adoptive parents, legal guardians, or fictive kin providing the majority of the child’s daily food, lodging, and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efforts of the agency responsible for the placement of the child to facilitate the return of the child to the home or to find an alternative permanent placement other than foster care if reunion with the parent or previous custodian is not feasible. The agency shall report to the board all factors which either favor or mitigate against a decision or alternative with regard to these matters.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local board may request an investigation of any problems, solutions, or alternatives with regard to the best interest of the child or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Each review shall include any oral, written, or recorded statements submitted by any person notified pursuant to Iowa Code section </w:t>
      </w:r>
      <w:hyperlink r:id="rId10">
        <w:r>
          <w:rPr>
            <w:rStyle w:val="Hyperlink"/>
            <w:rFonts w:ascii="Times New Roman" w:hAnsi="Times New Roman"/>
            <w:b w:val="false"/>
            <w:i w:val="false"/>
            <w:color w:val="000000"/>
            <w:sz w:val="22"/>
          </w:rPr>
          <w:t>237.20(4)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person who gives an oral statement has the right to representation by counsel at the review. An oral statement may, upon the request of an interested party or upon motion of the local board, be given in a private setting. Local board questions shall pertain to the permanency plan and shall not include issues that do not pertain to the permanency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w:t>
      </w:r>
      <w:r>
        <w:rPr>
          <w:rFonts w:ascii="Times New Roman" w:hAnsi="Times New Roman"/>
          <w:b w:val="false"/>
          <w:i w:val="false"/>
          <w:color w:val="000000"/>
          <w:sz w:val="22"/>
        </w:rPr>
        <w:t> </w:t>
      </w:r>
      <w:r>
        <w:rPr>
          <w:rFonts w:ascii="Times New Roman" w:hAnsi="Times New Roman"/>
          <w:b w:val="false"/>
          <w:i w:val="false"/>
          <w:color w:val="000000"/>
          <w:sz w:val="22"/>
        </w:rPr>
        <w:t xml:space="preserve">Findings and recommendations. The local board shall submit the findings and recommendations to the appropriate court and the department within 15 days after the review. The findings and recommendations shall include the proposed date of the next review by the local board. The report to the court shall include information regarding the permanency plan and the progress in attaining the permanency goals. The local board shall send a copy of the findings and recommendations to the persons specified in subrule </w:t>
      </w:r>
      <w:hyperlink r:id="rId11">
        <w:r>
          <w:rPr>
            <w:rStyle w:val="Hyperlink"/>
            <w:rFonts w:ascii="Times New Roman" w:hAnsi="Times New Roman"/>
            <w:b w:val="false"/>
            <w:i w:val="false"/>
            <w:color w:val="000000"/>
            <w:sz w:val="22"/>
          </w:rPr>
          <w:t>3.4(3)</w:t>
        </w:r>
      </w:hyperlink>
      <w:r>
        <w:rPr>
          <w:rFonts w:ascii="Times New Roman" w:hAnsi="Times New Roman"/>
          <w:b w:val="false"/>
          <w:i w:val="false"/>
          <w:color w:val="000000"/>
          <w:sz w:val="22"/>
        </w:rPr>
        <w:t xml:space="preserve"> within 15 days following the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w:t>
      </w:r>
      <w:r>
        <w:rPr>
          <w:rFonts w:ascii="Times New Roman" w:hAnsi="Times New Roman"/>
          <w:b w:val="false"/>
          <w:i w:val="false"/>
          <w:color w:val="000000"/>
          <w:sz w:val="22"/>
        </w:rPr>
        <w:t> </w:t>
      </w:r>
      <w:r>
        <w:rPr>
          <w:rFonts w:ascii="Times New Roman" w:hAnsi="Times New Roman"/>
          <w:b w:val="false"/>
          <w:i w:val="false"/>
          <w:color w:val="000000"/>
          <w:sz w:val="22"/>
        </w:rPr>
        <w:t>The local board shall notify the following persons at least ten days prior to the review of the case of a child receiving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court, or agency responsible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parent or parents of the child unless termination of parental rights has occurred pursuant to Iowa Code section </w:t>
      </w:r>
      <w:hyperlink r:id="rId12">
        <w:r>
          <w:rPr>
            <w:rStyle w:val="Hyperlink"/>
            <w:rFonts w:ascii="Times New Roman" w:hAnsi="Times New Roman"/>
            <w:b w:val="false"/>
            <w:i w:val="false"/>
            <w:color w:val="000000"/>
            <w:sz w:val="22"/>
          </w:rPr>
          <w:t>232.117</w:t>
        </w:r>
      </w:hyperlink>
      <w:r>
        <w:rPr>
          <w:rFonts w:ascii="Times New Roman" w:hAnsi="Times New Roman"/>
          <w:b w:val="false"/>
          <w:i w:val="false"/>
          <w:color w:val="000000"/>
          <w:sz w:val="22"/>
        </w:rPr>
        <w:t xml:space="preserve"> or chapter </w:t>
      </w:r>
      <w:hyperlink r:id="rId13">
        <w:r>
          <w:rPr>
            <w:rStyle w:val="Hyperlink"/>
            <w:rFonts w:ascii="Times New Roman" w:hAnsi="Times New Roman"/>
            <w:b w:val="false"/>
            <w:i w:val="false"/>
            <w:color w:val="000000"/>
            <w:sz w:val="22"/>
          </w:rPr>
          <w:t>600A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foster care provider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child receiving foster care, if the child is 14 years of age or older. The child shall be informed of the review’s purpose and procedure, and of the right to have a guardian ad litem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guardian ad litem of the foster child. The guardian ad litem shall be eligible for compensation through Iowa Code section </w:t>
      </w:r>
      <w:hyperlink r:id="rId14">
        <w:r>
          <w:rPr>
            <w:rStyle w:val="Hyperlink"/>
            <w:rFonts w:ascii="Times New Roman" w:hAnsi="Times New Roman"/>
            <w:b w:val="false"/>
            <w:i w:val="false"/>
            <w:color w:val="000000"/>
            <w:sz w:val="22"/>
          </w:rPr>
          <w:t>232.141(2).</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county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person providing services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child’s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Any intervenor.</w:t>
      </w:r>
    </w:p>
    <w:p>
      <w:pPr>
        <w:spacing w:before="0" w:after="0"/>
        <w:ind w:left="120"/>
        <w:jc w:val="both"/>
      </w:pPr>
      <w:r>
        <w:rPr>
          <w:rFonts w:ascii="Times New Roman" w:hAnsi="Times New Roman"/>
          <w:b w:val="false"/>
          <w:i w:val="false"/>
          <w:color w:val="000000"/>
          <w:sz w:val="22"/>
        </w:rPr>
        <w:t>The notice shall include a statement that the person notified has the right to representation by counsel at the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3.4(4)</w:t>
      </w:r>
      <w:r>
        <w:rPr>
          <w:rFonts w:ascii="Times New Roman" w:hAnsi="Times New Roman"/>
          <w:b w:val="false"/>
          <w:i w:val="false"/>
          <w:color w:val="000000"/>
          <w:sz w:val="22"/>
        </w:rPr>
        <w:t> </w:t>
      </w:r>
      <w:r>
        <w:rPr>
          <w:rFonts w:ascii="Times New Roman" w:hAnsi="Times New Roman"/>
          <w:b w:val="false"/>
          <w:i w:val="false"/>
          <w:color w:val="000000"/>
          <w:sz w:val="22"/>
        </w:rPr>
        <w:t xml:space="preserve">The local board shall encourage placement of the child in the most appropriate setting reflecting the provisions of Iowa Code chapter </w:t>
      </w:r>
      <w:hyperlink r:id="rId15">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237.20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2322C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 xml:space="preserve">; </w:t>
      </w:r>
      <w:r>
        <w:rPr>
          <w:rFonts w:ascii="Times New Roman" w:hAnsi="Times New Roman"/>
          <w:b/>
          <w:i w:val="false"/>
          <w:color w:val="000000"/>
          <w:sz w:val="16"/>
        </w:rPr>
        <w:t>ARC 6676C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489—3.5</w:t>
      </w:r>
      <w:r>
        <w:rPr>
          <w:rFonts w:ascii="Times New Roman" w:hAnsi="Times New Roman"/>
          <w:b/>
          <w:i w:val="false"/>
          <w:color w:val="000000"/>
          <w:sz w:val="22"/>
        </w:rPr>
        <w:t xml:space="preserve">(237) </w:t>
      </w:r>
      <w:r>
        <w:rPr>
          <w:rFonts w:ascii="Times New Roman" w:hAnsi="Times New Roman"/>
          <w:b/>
          <w:i w:val="false"/>
          <w:color w:val="000000"/>
          <w:sz w:val="22"/>
        </w:rPr>
        <w:t xml:space="preserve">Local board coordinator. </w:t>
      </w:r>
      <w:r>
        <w:rPr>
          <w:rFonts w:ascii="Times New Roman" w:hAnsi="Times New Roman"/>
          <w:b w:val="false"/>
          <w:i w:val="false"/>
          <w:color w:val="000000"/>
          <w:sz w:val="22"/>
        </w:rPr>
        <w:t xml:space="preserve">Rescinded </w:t>
      </w:r>
      <w:r>
        <w:rPr>
          <w:rFonts w:ascii="Times New Roman" w:hAnsi="Times New Roman"/>
          <w:b/>
          <w:i w:val="false"/>
          <w:color w:val="000000"/>
          <w:sz w:val="22"/>
        </w:rPr>
        <w:t>ARC 6676C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11/16/22</w:t>
      </w:r>
      <w:r>
        <w:rPr>
          <w:rFonts w:ascii="Times New Roman" w:hAnsi="Times New Roman"/>
          <w:b w:val="false"/>
          <w:i w:val="false"/>
          <w:color w:val="000000"/>
          <w:sz w:val="22"/>
        </w:rPr>
        <w:t xml:space="preserve">, effective 12/21/22. </w:t>
      </w:r>
    </w:p>
    <w:p>
      <w:pPr>
        <w:spacing w:before="0" w:after="0"/>
        <w:ind w:left="120"/>
        <w:jc w:val="both"/>
      </w:pPr>
      <w:r>
        <w:rPr>
          <w:rFonts w:ascii="Times New Roman" w:hAnsi="Times New Roman"/>
          <w:b/>
          <w:i w:val="false"/>
          <w:color w:val="000000"/>
          <w:sz w:val="22"/>
        </w:rPr>
        <w:t>489—3.6</w:t>
      </w:r>
      <w:r>
        <w:rPr>
          <w:rFonts w:ascii="Times New Roman" w:hAnsi="Times New Roman"/>
          <w:b/>
          <w:i w:val="false"/>
          <w:color w:val="000000"/>
          <w:sz w:val="22"/>
        </w:rPr>
        <w:t xml:space="preserve">(237) </w:t>
      </w:r>
      <w:r>
        <w:rPr>
          <w:rFonts w:ascii="Times New Roman" w:hAnsi="Times New Roman"/>
          <w:b/>
          <w:i w:val="false"/>
          <w:color w:val="000000"/>
          <w:sz w:val="22"/>
        </w:rPr>
        <w:t xml:space="preserve">Children eligible for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eligible for review, the child shall meet the requirements set forth in Iowa Code sections </w:t>
      </w:r>
      <w:hyperlink r:id="rId18">
        <w:r>
          <w:rPr>
            <w:rStyle w:val="Hyperlink"/>
            <w:rFonts w:ascii="Times New Roman" w:hAnsi="Times New Roman"/>
            <w:b w:val="false"/>
            <w:i w:val="false"/>
            <w:color w:val="000000"/>
            <w:sz w:val="22"/>
          </w:rPr>
          <w:t>234.1(2)</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234.35</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237.15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w:t>
      </w:r>
      <w:r>
        <w:rPr>
          <w:rFonts w:ascii="Times New Roman" w:hAnsi="Times New Roman"/>
          <w:b w:val="false"/>
          <w:i w:val="false"/>
          <w:color w:val="000000"/>
          <w:sz w:val="22"/>
        </w:rPr>
        <w:t> </w:t>
      </w:r>
      <w:r>
        <w:rPr>
          <w:rFonts w:ascii="Times New Roman" w:hAnsi="Times New Roman"/>
          <w:b w:val="false"/>
          <w:i w:val="false"/>
          <w:color w:val="000000"/>
          <w:sz w:val="22"/>
        </w:rPr>
        <w:t>If the child is not receiving foster care when the six-month review is scheduled, the review may be held if the child has received foster care for a minimum of two months during that six-month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w:t>
      </w:r>
      <w:r>
        <w:rPr>
          <w:rFonts w:ascii="Times New Roman" w:hAnsi="Times New Roman"/>
          <w:b w:val="false"/>
          <w:i w:val="false"/>
          <w:color w:val="000000"/>
          <w:sz w:val="22"/>
        </w:rPr>
        <w:t> </w:t>
      </w:r>
      <w:r>
        <w:rPr>
          <w:rFonts w:ascii="Times New Roman" w:hAnsi="Times New Roman"/>
          <w:b w:val="false"/>
          <w:i w:val="false"/>
          <w:color w:val="000000"/>
          <w:sz w:val="22"/>
        </w:rPr>
        <w:t>If parental rights are terminated, the child’s case will continue to be reviewed every six months until the child is placed in an adoptive home and the adoption is finalized.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237.18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6676C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5/30/85—published 6/19/85, effective 5/30/85]</w:t>
      </w:r>
    </w:p>
    <w:p>
      <w:pPr>
        <w:spacing w:before="0" w:after="0"/>
        <w:ind w:left="120"/>
        <w:jc w:val="center"/>
      </w:pPr>
      <w:r>
        <w:rPr>
          <w:rFonts w:ascii="Times New Roman" w:hAnsi="Times New Roman"/>
          <w:b w:val="false"/>
          <w:i w:val="false"/>
          <w:color w:val="000000"/>
          <w:sz w:val="21"/>
        </w:rPr>
        <w:t>[Filed emergency 7/1/86—published 7/16/86, effective 7/1/86]</w:t>
      </w:r>
    </w:p>
    <w:p>
      <w:pPr>
        <w:spacing w:before="0" w:after="0"/>
        <w:ind w:left="120"/>
        <w:jc w:val="center"/>
      </w:pPr>
      <w:r>
        <w:rPr>
          <w:rFonts w:ascii="Times New Roman" w:hAnsi="Times New Roman"/>
          <w:b w:val="false"/>
          <w:i w:val="false"/>
          <w:color w:val="000000"/>
          <w:sz w:val="21"/>
        </w:rPr>
        <w:t>[Filed 3/3/88, Notice 1/27/88—published 3/23/88, effective 4/27/88]</w:t>
      </w:r>
    </w:p>
    <w:p>
      <w:pPr>
        <w:spacing w:before="0" w:after="0"/>
        <w:ind w:left="120"/>
        <w:jc w:val="center"/>
      </w:pPr>
      <w:r>
        <w:rPr>
          <w:rFonts w:ascii="Times New Roman" w:hAnsi="Times New Roman"/>
          <w:b w:val="false"/>
          <w:i w:val="false"/>
          <w:color w:val="000000"/>
          <w:sz w:val="21"/>
        </w:rPr>
        <w:t>[Filed 9/2/88, Notice 6/15/88—published 9/21/88, effective 10/26/88]</w:t>
      </w:r>
    </w:p>
    <w:p>
      <w:pPr>
        <w:spacing w:before="0" w:after="0"/>
        <w:ind w:left="120"/>
        <w:jc w:val="center"/>
      </w:pPr>
      <w:r>
        <w:rPr>
          <w:rFonts w:ascii="Times New Roman" w:hAnsi="Times New Roman"/>
          <w:b w:val="false"/>
          <w:i w:val="false"/>
          <w:color w:val="000000"/>
          <w:sz w:val="21"/>
        </w:rPr>
        <w:t>[Filed ARC 2322C</w:t>
      </w:r>
      <w:r>
        <w:rPr>
          <w:rFonts w:ascii="Times New Roman" w:hAnsi="Times New Roman"/>
          <w:b w:val="false"/>
          <w:i w:val="false"/>
          <w:color w:val="000000"/>
          <w:sz w:val="21"/>
        </w:rPr>
        <w:t xml:space="preserve"> (Notice ARC 2223C, IAB 10/28/15)</w:t>
      </w:r>
      <w:r>
        <w:rPr>
          <w:rFonts w:ascii="Times New Roman" w:hAnsi="Times New Roman"/>
          <w:b w:val="false"/>
          <w:i w:val="false"/>
          <w:color w:val="000000"/>
          <w:sz w:val="21"/>
        </w:rPr>
        <w:t>, IAB 12/23/15, effective 1/27/16]</w:t>
      </w:r>
    </w:p>
    <w:p>
      <w:pPr>
        <w:spacing w:before="0" w:after="0"/>
        <w:ind w:left="120"/>
        <w:jc w:val="center"/>
      </w:pPr>
      <w:r>
        <w:rPr>
          <w:rFonts w:ascii="Times New Roman" w:hAnsi="Times New Roman"/>
          <w:b w:val="false"/>
          <w:i w:val="false"/>
          <w:color w:val="000000"/>
          <w:sz w:val="21"/>
        </w:rPr>
        <w:t>[Filed ARC 6676C</w:t>
      </w:r>
      <w:r>
        <w:rPr>
          <w:rFonts w:ascii="Times New Roman" w:hAnsi="Times New Roman"/>
          <w:b w:val="false"/>
          <w:i w:val="false"/>
          <w:color w:val="000000"/>
          <w:sz w:val="21"/>
        </w:rPr>
        <w:t xml:space="preserve"> (Notice ARC 6544C, IAB 9/21/22)</w:t>
      </w:r>
      <w:r>
        <w:rPr>
          <w:rFonts w:ascii="Times New Roman" w:hAnsi="Times New Roman"/>
          <w:b w:val="false"/>
          <w:i w:val="false"/>
          <w:color w:val="000000"/>
          <w:sz w:val="21"/>
        </w:rPr>
        <w:t>, IAB 11/16/22, effective 12/21/22]</w:t>
      </w:r>
    </w:p>
    <w:p>
      <w:pPr>
        <w:spacing w:before="0" w:after="0"/>
        <w:ind w:left="120"/>
        <w:jc w:val="center"/>
      </w:pPr>
      <w:r>
        <w:rPr>
          <w:rFonts w:ascii="Times New Roman" w:hAnsi="Times New Roman"/>
          <w:b w:val="false"/>
          <w:i w:val="false"/>
          <w:color w:val="000000"/>
          <w:sz w:val="21"/>
        </w:rPr>
        <w:t>[Filed ARC 7698C</w:t>
      </w:r>
      <w:r>
        <w:rPr>
          <w:rFonts w:ascii="Times New Roman" w:hAnsi="Times New Roman"/>
          <w:b w:val="false"/>
          <w:i w:val="false"/>
          <w:color w:val="000000"/>
          <w:sz w:val="21"/>
        </w:rPr>
        <w:t xml:space="preserve"> (Notice ARC 7065C, IAB 8/23/23)</w:t>
      </w:r>
      <w:r>
        <w:rPr>
          <w:rFonts w:ascii="Times New Roman" w:hAnsi="Times New Roman"/>
          <w:b w:val="false"/>
          <w:i w:val="false"/>
          <w:color w:val="000000"/>
          <w:sz w:val="21"/>
        </w:rPr>
        <w:t>, IAB 3/6/24, effective 7/1/24]</w:t>
      </w:r>
      <w:r>
        <w:rPr>
          <w:rFonts w:ascii="Times New Roman" w:hAnsi="Times New Roman"/>
          <w:b w:val="false"/>
          <w:i w:val="false"/>
          <w:color w:val="000000"/>
          <w:sz w:val="10"/>
        </w:rPr>
        <w:t>1</w:t>
      </w:r>
    </w:p>
    <w:p>
      <w:pPr>
        <w:spacing w:before="0" w:after="0"/>
        <w:ind w:left="120"/>
        <w:jc w:val="both"/>
      </w:pPr>
      <w:r>
        <w:rPr>
          <w:rFonts w:ascii="Times New Roman" w:hAnsi="Times New Roman"/>
          <w:b w:val="false"/>
          <w:i w:val="false"/>
          <w:color w:val="000000"/>
          <w:sz w:val="22"/>
        </w:rPr>
        <w:t xml:space="preserve">The effective date of </w:t>
      </w:r>
      <w:r>
        <w:rPr>
          <w:rFonts w:ascii="Times New Roman" w:hAnsi="Times New Roman"/>
          <w:b/>
          <w:i w:val="false"/>
          <w:color w:val="000000"/>
          <w:sz w:val="22"/>
        </w:rPr>
        <w:t>ARC 7698C</w:t>
      </w:r>
      <w:r>
        <w:rPr>
          <w:rFonts w:ascii="Times New Roman" w:hAnsi="Times New Roman"/>
          <w:b w:val="false"/>
          <w:i w:val="false"/>
          <w:color w:val="000000"/>
          <w:sz w:val="22"/>
        </w:rPr>
        <w:t xml:space="preserve"> was corrected to July 1, 2024, in the April 3, 2024, Iowa Administrative Bulletin.</w:t>
      </w:r>
    </w:p>
    <w:p>
      <w:pPr>
        <w:spacing w:before="0" w:after="0"/>
        <w:ind w:left="120"/>
        <w:jc w:val="both"/>
      </w:pP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3.pdf" Type="http://schemas.openxmlformats.org/officeDocument/2006/relationships/hyperlink" Id="rId5"/>
    <Relationship TargetMode="External" Target="https://www.legis.iowa.gov/docs/ico/chapter/237.19.pdf" Type="http://schemas.openxmlformats.org/officeDocument/2006/relationships/hyperlink" Id="rId6"/>
    <Relationship TargetMode="External" Target="https://www.legis.iowa.gov/docs/ico/chapter/17A.3.pdf" Type="http://schemas.openxmlformats.org/officeDocument/2006/relationships/hyperlink" Id="rId7"/>
    <Relationship TargetMode="External" Target="https://www.legis.iowa.gov/docs/ico/chapter/237.19.pdf" Type="http://schemas.openxmlformats.org/officeDocument/2006/relationships/hyperlink" Id="rId8"/>
    <Relationship TargetMode="External" Target="https://www.legis.iowa.gov/docs/ico/chapter/237.2.pdf" Type="http://schemas.openxmlformats.org/officeDocument/2006/relationships/hyperlink" Id="rId9"/>
    <Relationship TargetMode="External" Target="https://www.legis.iowa.gov/docs/ico/chapter/237.20.pdf" Type="http://schemas.openxmlformats.org/officeDocument/2006/relationships/hyperlink" Id="rId10"/>
    <Relationship TargetMode="External" Target="https://www.legis.iowa.gov/docs/iac/rule/489.3.4.pdf" Type="http://schemas.openxmlformats.org/officeDocument/2006/relationships/hyperlink" Id="rId11"/>
    <Relationship TargetMode="External" Target="https://www.legis.iowa.gov/docs/ico/chapter/232.117.pdf" Type="http://schemas.openxmlformats.org/officeDocument/2006/relationships/hyperlink" Id="rId12"/>
    <Relationship TargetMode="External" Target="https://www.legis.iowa.gov/docs/ico/chapter/600A.pdf" Type="http://schemas.openxmlformats.org/officeDocument/2006/relationships/hyperlink" Id="rId13"/>
    <Relationship TargetMode="External" Target="https://www.legis.iowa.gov/docs/ico/chapter/232.141.pdf" Type="http://schemas.openxmlformats.org/officeDocument/2006/relationships/hyperlink" Id="rId14"/>
    <Relationship TargetMode="External" Target="https://www.legis.iowa.gov/docs/ico/chapter/232.pdf" Type="http://schemas.openxmlformats.org/officeDocument/2006/relationships/hyperlink" Id="rId15"/>
    <Relationship TargetMode="External" Target="https://www.legis.iowa.gov/docs/ico/chapter/17A.3.pdf" Type="http://schemas.openxmlformats.org/officeDocument/2006/relationships/hyperlink" Id="rId16"/>
    <Relationship TargetMode="External" Target="https://www.legis.iowa.gov/docs/ico/chapter/237.20.pdf" Type="http://schemas.openxmlformats.org/officeDocument/2006/relationships/hyperlink" Id="rId17"/>
    <Relationship TargetMode="External" Target="https://www.legis.iowa.gov/docs/ico/chapter/234.1.pdf" Type="http://schemas.openxmlformats.org/officeDocument/2006/relationships/hyperlink" Id="rId18"/>
    <Relationship TargetMode="External" Target="https://www.legis.iowa.gov/docs/ico/chapter/234.35.pdf" Type="http://schemas.openxmlformats.org/officeDocument/2006/relationships/hyperlink" Id="rId19"/>
    <Relationship TargetMode="External" Target="https://www.legis.iowa.gov/docs/ico/chapter/237.15.pdf" Type="http://schemas.openxmlformats.org/officeDocument/2006/relationships/hyperlink" Id="rId20"/>
    <Relationship TargetMode="External" Target="https://www.legis.iowa.gov/docs/ico/chapter/17A.3.pdf" Type="http://schemas.openxmlformats.org/officeDocument/2006/relationships/hyperlink" Id="rId21"/>
    <Relationship TargetMode="External" Target="https://www.legis.iowa.gov/docs/ico/chapter/237.18.pdf" Type="http://schemas.openxmlformats.org/officeDocument/2006/relationships/hyperlink"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