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RULES AND OPERATION FOR THE STATE BOARD</w:t>
      </w:r>
    </w:p>
    <w:p>
      <w:pPr>
        <w:spacing w:before="0" w:after="0"/>
        <w:ind w:left="120"/>
        <w:jc w:val="center"/>
      </w:pPr>
      <w:r>
        <w:rPr>
          <w:rFonts w:ascii="Times New Roman" w:hAnsi="Times New Roman"/>
          <w:b w:val="false"/>
          <w:i w:val="false"/>
          <w:color w:val="000000"/>
          <w:sz w:val="14"/>
        </w:rPr>
        <w:t>[Prior to 3/23/88, see Foster Care Review Board[445]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489—2.1</w:t>
      </w:r>
      <w:r>
        <w:rPr>
          <w:rFonts w:ascii="Times New Roman" w:hAnsi="Times New Roman"/>
          <w:b/>
          <w:i w:val="false"/>
          <w:color w:val="000000"/>
          <w:sz w:val="22"/>
        </w:rPr>
        <w:t xml:space="preserve">(237) </w:t>
      </w:r>
      <w:r>
        <w:rPr>
          <w:rFonts w:ascii="Times New Roman" w:hAnsi="Times New Roman"/>
          <w:b/>
          <w:i w:val="false"/>
          <w:color w:val="000000"/>
          <w:sz w:val="22"/>
        </w:rPr>
        <w:t xml:space="preserve">Membership and term.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w:t>
      </w:r>
      <w:r>
        <w:rPr>
          <w:rFonts w:ascii="Times New Roman" w:hAnsi="Times New Roman"/>
          <w:b w:val="false"/>
          <w:i w:val="false"/>
          <w:color w:val="000000"/>
          <w:sz w:val="22"/>
        </w:rPr>
        <w:t> </w:t>
      </w:r>
      <w:r>
        <w:rPr>
          <w:rFonts w:ascii="Times New Roman" w:hAnsi="Times New Roman"/>
          <w:b w:val="false"/>
          <w:i/>
          <w:color w:val="000000"/>
          <w:sz w:val="22"/>
        </w:rPr>
        <w:t xml:space="preserve">Membership and terms. </w:t>
      </w:r>
      <w:r>
        <w:rPr>
          <w:rFonts w:ascii="Times New Roman" w:hAnsi="Times New Roman"/>
          <w:b w:val="false"/>
          <w:i w:val="false"/>
          <w:color w:val="000000"/>
          <w:sz w:val="22"/>
        </w:rPr>
        <w:t xml:space="preserve">The child advocacy board is created within the department of health and human services. The state board consists of nine members appointed by the governor, subject to confirmation by the senate and directly responsible to the governor. One member shall be an active court appointed special advocate volunteer, one member shall be an active member of a local citizen foster care review board, and one member shall be a judicial branch employee or judicial officer appointed from nominees submitted by the judicial branch. The appointment is for a term of four years that begins and ends as provided in Iowa Code section </w:t>
      </w:r>
      <w:hyperlink r:id="rId5">
        <w:r>
          <w:rPr>
            <w:rStyle w:val="Hyperlink"/>
            <w:rFonts w:ascii="Times New Roman" w:hAnsi="Times New Roman"/>
            <w:b w:val="false"/>
            <w:i w:val="false"/>
            <w:color w:val="000000"/>
            <w:sz w:val="22"/>
          </w:rPr>
          <w:t>69.19</w:t>
        </w:r>
      </w:hyperlink>
      <w:r>
        <w:rPr>
          <w:rFonts w:ascii="Times New Roman" w:hAnsi="Times New Roman"/>
          <w:b w:val="false"/>
          <w:i w:val="false"/>
          <w:color w:val="000000"/>
          <w:sz w:val="22"/>
        </w:rPr>
        <w:t xml:space="preserve">. Vacancies on the state board shall be filled in the same manner as original appointments are made. An employee of the department of health and human services, an employee of a child-placing agency, an employee of an agency with which the department of health and human services contracts for services for children under foster care, a foster parent providing foster care, or an employee of the district court is not eligible to serve on the state board. However, the judicial branch employee or judicial officer appointed from nominees submitted by the judicial branch in accordance with Iowa Code section </w:t>
      </w:r>
      <w:hyperlink r:id="rId6">
        <w:r>
          <w:rPr>
            <w:rStyle w:val="Hyperlink"/>
            <w:rFonts w:ascii="Times New Roman" w:hAnsi="Times New Roman"/>
            <w:b w:val="false"/>
            <w:i w:val="false"/>
            <w:color w:val="000000"/>
            <w:sz w:val="22"/>
          </w:rPr>
          <w:t>237.16(1)</w:t>
        </w:r>
      </w:hyperlink>
      <w:r>
        <w:rPr>
          <w:rFonts w:ascii="Times New Roman" w:hAnsi="Times New Roman"/>
          <w:b w:val="false"/>
          <w:i w:val="false"/>
          <w:color w:val="000000"/>
          <w:sz w:val="22"/>
        </w:rPr>
        <w:t xml:space="preserve"> shall be eligible to serve on the state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 xml:space="preserve">The members of the state board shall annually select a chairperson, vice chairperson, and other officers the members deem necessary. The members may be entitled to receive reimbursement for actual and necessary expenses incurred in the performance of their duties, subject to available funding. Each member of the state board may also be eligible to receive compensation as provided in Iowa Code section </w:t>
      </w:r>
      <w:hyperlink r:id="rId7">
        <w:r>
          <w:rPr>
            <w:rStyle w:val="Hyperlink"/>
            <w:rFonts w:ascii="Times New Roman" w:hAnsi="Times New Roman"/>
            <w:b w:val="false"/>
            <w:i w:val="false"/>
            <w:color w:val="000000"/>
            <w:sz w:val="22"/>
          </w:rPr>
          <w:t>7E.6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 xml:space="preserve">The state board shall meet at least twice a year. Notice of a meeting is published at least seven days in advance of the meeting and will be provided to interested persons upon request. The notice shall contain the specific date, time and place of the meeting. The agenda will be made available to any interested person not less than seven days in advance of the meeting. All meetings will be open to the public, pursuant to Iowa Code chapter </w:t>
      </w:r>
      <w:hyperlink r:id="rId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unless a closed session is voted by a quorum. The operation of the state board meetings will be governed by the following rules of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quorum shall consist of a majority of the members. When a quorum is present, a position is carried by an affirmative vote of a majority of the members present.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Minutes of state board meetings are prepared and are available at the board office for inspection during office hours. Copies may be obtained without charge by contacting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each meeting the state board shall set the time, date and place of the next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the meeting shall be given pursuant to Iowa Code chapter </w:t>
      </w:r>
      <w:hyperlink r:id="rId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chairperson of the state board determines that a special or electronic meeting is required, the meeting shall be held in accordance with Iowa Code section </w:t>
      </w:r>
      <w:hyperlink r:id="rId10">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Persons wishing to appear before the state board shall submit the request to the state board office not less than ten days prior to the meeting. Presentations may be made at the discretion of the chairperson and only upon matters appearing on the agenda. Persons wishing to submit written material should do so at least ten days in advance of the scheduled meeting to ensure that state board members have adequate time to receive and evaluate the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Cameras and recording devices may be used at open meetings provided they do not obstruct the meeting. The presiding officer may request a person using such a device to discontinue its use when it is obstructing the meeting. If a person fails to comply with this request, the presiding officer shall order that person excluded from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exclude any person from the meeting for repeated behavior that disrupts or obstructs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Cases not covered by these rules shall be governed by Robert’s Rules of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w:t>
      </w:r>
      <w:r>
        <w:rPr>
          <w:rFonts w:ascii="Times New Roman" w:hAnsi="Times New Roman"/>
          <w:b w:val="false"/>
          <w:i w:val="false"/>
          <w:color w:val="000000"/>
          <w:sz w:val="22"/>
        </w:rPr>
        <w:t> </w:t>
      </w:r>
      <w:r>
        <w:rPr>
          <w:rFonts w:ascii="Times New Roman" w:hAnsi="Times New Roman"/>
          <w:b w:val="false"/>
          <w:i/>
          <w:color w:val="000000"/>
          <w:sz w:val="22"/>
        </w:rPr>
        <w:t xml:space="preserve">Powers and duties. </w:t>
      </w:r>
      <w:r>
        <w:rPr>
          <w:rFonts w:ascii="Times New Roman" w:hAnsi="Times New Roman"/>
          <w:b w:val="false"/>
          <w:i w:val="false"/>
          <w:color w:val="000000"/>
          <w:sz w:val="22"/>
        </w:rPr>
        <w:t xml:space="preserve">The powers and duties of the state board are enumerated in Iowa Code section </w:t>
      </w:r>
      <w:hyperlink r:id="rId12">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237.16</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3055C</w:t>
      </w:r>
      <w:r>
        <w:rPr>
          <w:rFonts w:ascii="Times New Roman" w:hAnsi="Times New Roman"/>
          <w:b w:val="false"/>
          <w:i w:val="false"/>
          <w:color w:val="000000"/>
          <w:sz w:val="16"/>
        </w:rPr>
        <w:t>, IAB 5/10/17, effective 6/14/17</w:t>
      </w:r>
      <w:r>
        <w:rPr>
          <w:rFonts w:ascii="Times New Roman" w:hAnsi="Times New Roman"/>
          <w:b w:val="false"/>
          <w:i w:val="false"/>
          <w:color w:val="000000"/>
          <w:sz w:val="16"/>
        </w:rPr>
        <w:t xml:space="preserve">; </w:t>
      </w:r>
      <w:r>
        <w:rPr>
          <w:rFonts w:ascii="Times New Roman" w:hAnsi="Times New Roman"/>
          <w:b/>
          <w:i w:val="false"/>
          <w:color w:val="000000"/>
          <w:sz w:val="16"/>
        </w:rPr>
        <w:t>ARC 6676C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 xml:space="preserve">; </w:t>
      </w:r>
      <w:r>
        <w:rPr>
          <w:rFonts w:ascii="Times New Roman" w:hAnsi="Times New Roman"/>
          <w:b/>
          <w:i w:val="false"/>
          <w:color w:val="000000"/>
          <w:sz w:val="16"/>
        </w:rPr>
        <w:t>ARC 7698C</w:t>
      </w:r>
      <w:r>
        <w:rPr>
          <w:rFonts w:ascii="Times New Roman" w:hAnsi="Times New Roman"/>
          <w:b w:val="false"/>
          <w:i w:val="false"/>
          <w:color w:val="000000"/>
          <w:sz w:val="16"/>
        </w:rPr>
        <w:t>, IAB 3/6/24,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see correction note at end of chapter]</w:t>
      </w:r>
    </w:p>
    <w:p>
      <w:pPr>
        <w:spacing w:before="0" w:after="0"/>
        <w:ind w:left="120"/>
        <w:jc w:val="both"/>
      </w:pPr>
      <w:r>
        <w:rPr>
          <w:rFonts w:ascii="Times New Roman" w:hAnsi="Times New Roman"/>
          <w:b/>
          <w:i w:val="false"/>
          <w:color w:val="000000"/>
          <w:sz w:val="22"/>
        </w:rPr>
        <w:t>489—2.2</w:t>
      </w:r>
      <w:r>
        <w:rPr>
          <w:rFonts w:ascii="Times New Roman" w:hAnsi="Times New Roman"/>
          <w:b/>
          <w:i w:val="false"/>
          <w:color w:val="000000"/>
          <w:sz w:val="22"/>
        </w:rPr>
        <w:t xml:space="preserve">(237) </w:t>
      </w:r>
      <w:r>
        <w:rPr>
          <w:rFonts w:ascii="Times New Roman" w:hAnsi="Times New Roman"/>
          <w:b/>
          <w:i w:val="false"/>
          <w:color w:val="000000"/>
          <w:sz w:val="22"/>
        </w:rPr>
        <w:t xml:space="preserve">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appoints an administrator for the child advocacy board. The administrator is responsible for the ongoing administration of the state and local boards’ activities and of the court appointed special advocate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val="false"/>
          <w:color w:val="000000"/>
          <w:sz w:val="22"/>
        </w:rPr>
        <w:t>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Applies for and administers funds necessary for operations of the child advocacy board and the foster care review board and the court appointed special advocate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Employs, discharges, trains, and supervises foster care review board and court appointed special advocate program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Develops and implements policies and procedures needed to implement requirements of federal law and regulations and state law and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Develops and recommends administrative rules for promulgation by the state board as needed to govern the operation of the state board, the foster care review board program and the court appointed special advocate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Ensures training is provided for state and local board members, court appointed special advocates and coaches and any other volunteers supporting the state board’s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Ensures that relationships are developed and maintained between the local board and judges, juvenile court referees, local departments, juvenile court services, and advocacy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Coordinates efforts to ensure community awareness of state and local boards and the court appointed special advocate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Works closely with allied agencies and associations to ensure that efforts relating to state and local boards and the court appointed special advocate program are coordinated and consistent.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237.18(5)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3055C</w:t>
      </w:r>
      <w:r>
        <w:rPr>
          <w:rFonts w:ascii="Times New Roman" w:hAnsi="Times New Roman"/>
          <w:b w:val="false"/>
          <w:i w:val="false"/>
          <w:color w:val="000000"/>
          <w:sz w:val="16"/>
        </w:rPr>
        <w:t>, IAB 5/10/17, effective 6/14/17</w:t>
      </w:r>
      <w:r>
        <w:rPr>
          <w:rFonts w:ascii="Times New Roman" w:hAnsi="Times New Roman"/>
          <w:b w:val="false"/>
          <w:i w:val="false"/>
          <w:color w:val="000000"/>
          <w:sz w:val="16"/>
        </w:rPr>
        <w:t xml:space="preserve">; </w:t>
      </w:r>
      <w:r>
        <w:rPr>
          <w:rFonts w:ascii="Times New Roman" w:hAnsi="Times New Roman"/>
          <w:b/>
          <w:i w:val="false"/>
          <w:color w:val="000000"/>
          <w:sz w:val="16"/>
        </w:rPr>
        <w:t>ARC 6676C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 xml:space="preserve">; </w:t>
      </w:r>
      <w:r>
        <w:rPr>
          <w:rFonts w:ascii="Times New Roman" w:hAnsi="Times New Roman"/>
          <w:b/>
          <w:i w:val="false"/>
          <w:color w:val="000000"/>
          <w:sz w:val="16"/>
        </w:rPr>
        <w:t>ARC 7698C</w:t>
      </w:r>
      <w:r>
        <w:rPr>
          <w:rFonts w:ascii="Times New Roman" w:hAnsi="Times New Roman"/>
          <w:b w:val="false"/>
          <w:i w:val="false"/>
          <w:color w:val="000000"/>
          <w:sz w:val="16"/>
        </w:rPr>
        <w:t>, IAB 3/6/24,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see correction note at end of chapter]</w:t>
      </w:r>
    </w:p>
    <w:p>
      <w:pPr>
        <w:spacing w:before="0" w:after="0"/>
        <w:ind w:left="120"/>
        <w:jc w:val="both"/>
      </w:pPr>
      <w:r>
        <w:rPr>
          <w:rFonts w:ascii="Times New Roman" w:hAnsi="Times New Roman"/>
          <w:b/>
          <w:i w:val="false"/>
          <w:color w:val="000000"/>
          <w:sz w:val="22"/>
        </w:rPr>
        <w:t>489—2.3</w:t>
      </w:r>
      <w:r>
        <w:rPr>
          <w:rFonts w:ascii="Times New Roman" w:hAnsi="Times New Roman"/>
          <w:b/>
          <w:i w:val="false"/>
          <w:color w:val="000000"/>
          <w:sz w:val="22"/>
        </w:rPr>
        <w:t xml:space="preserve">(237) </w:t>
      </w:r>
      <w:r>
        <w:rPr>
          <w:rFonts w:ascii="Times New Roman" w:hAnsi="Times New Roman"/>
          <w:b/>
          <w:i w:val="false"/>
          <w:color w:val="000000"/>
          <w:sz w:val="22"/>
        </w:rPr>
        <w:t xml:space="preserve">Foster care registry. </w:t>
      </w:r>
      <w:r>
        <w:rPr>
          <w:rFonts w:ascii="Times New Roman" w:hAnsi="Times New Roman"/>
          <w:b w:val="false"/>
          <w:i w:val="false"/>
          <w:color w:val="000000"/>
          <w:sz w:val="22"/>
        </w:rPr>
        <w:t xml:space="preserve">The state board shall establish a registry of the placements of all children receiving foster care. The agency responsible for placement shall notify the state board of each placement in accordance with written protocols adopted pursuant to Iowa Code section 237.16(4) as enacted by </w:t>
      </w:r>
      <w:r>
        <w:rPr>
          <w:rFonts w:ascii="Times New Roman" w:hAnsi="Times New Roman"/>
          <w:b w:val="false"/>
          <w:i w:val="false"/>
          <w:color w:val="000000"/>
          <w:sz w:val="22"/>
        </w:rPr>
        <w:t>2022 Iowa Acts, House File 2390</w:t>
      </w:r>
      <w:r>
        <w:rPr>
          <w:rFonts w:ascii="Times New Roman" w:hAnsi="Times New Roman"/>
          <w:b w:val="false"/>
          <w:i w:val="false"/>
          <w:color w:val="000000"/>
          <w:sz w:val="22"/>
        </w:rPr>
        <w:t>, section 3. The notification shall include information identifying the child receiving foster care and placement information for that child.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237.17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3055C</w:t>
      </w:r>
      <w:r>
        <w:rPr>
          <w:rFonts w:ascii="Times New Roman" w:hAnsi="Times New Roman"/>
          <w:b w:val="false"/>
          <w:i w:val="false"/>
          <w:color w:val="000000"/>
          <w:sz w:val="16"/>
        </w:rPr>
        <w:t>, IAB 5/10/17, effective 6/14/17</w:t>
      </w:r>
      <w:r>
        <w:rPr>
          <w:rFonts w:ascii="Times New Roman" w:hAnsi="Times New Roman"/>
          <w:b w:val="false"/>
          <w:i w:val="false"/>
          <w:color w:val="000000"/>
          <w:sz w:val="16"/>
        </w:rPr>
        <w:t xml:space="preserve">; </w:t>
      </w:r>
      <w:r>
        <w:rPr>
          <w:rFonts w:ascii="Times New Roman" w:hAnsi="Times New Roman"/>
          <w:b/>
          <w:i w:val="false"/>
          <w:color w:val="000000"/>
          <w:sz w:val="16"/>
        </w:rPr>
        <w:t>ARC 6676C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489—2.4</w:t>
      </w:r>
      <w:r>
        <w:rPr>
          <w:rFonts w:ascii="Times New Roman" w:hAnsi="Times New Roman"/>
          <w:b/>
          <w:i w:val="false"/>
          <w:color w:val="000000"/>
          <w:sz w:val="22"/>
        </w:rPr>
        <w:t xml:space="preserve">(237) </w:t>
      </w:r>
      <w:r>
        <w:rPr>
          <w:rFonts w:ascii="Times New Roman" w:hAnsi="Times New Roman"/>
          <w:b/>
          <w:i w:val="false"/>
          <w:color w:val="000000"/>
          <w:sz w:val="22"/>
        </w:rPr>
        <w:t xml:space="preserve">Confidentiality of records—penalty. </w:t>
      </w:r>
      <w:r>
        <w:rPr>
          <w:rFonts w:ascii="Times New Roman" w:hAnsi="Times New Roman"/>
          <w:b w:val="false"/>
          <w:i w:val="false"/>
          <w:color w:val="000000"/>
          <w:sz w:val="22"/>
        </w:rPr>
        <w:t xml:space="preserve">The state and local boards, court appointed special advocates and coaches and child advocacy employees shall adhere to the confidentiality requirements established in Iowa Code section </w:t>
      </w:r>
      <w:hyperlink r:id="rId20">
        <w:r>
          <w:rPr>
            <w:rStyle w:val="Hyperlink"/>
            <w:rFonts w:ascii="Times New Roman" w:hAnsi="Times New Roman"/>
            <w:b w:val="false"/>
            <w:i w:val="false"/>
            <w:color w:val="000000"/>
            <w:sz w:val="22"/>
          </w:rPr>
          <w:t>237.21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237.21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3055C</w:t>
      </w:r>
      <w:r>
        <w:rPr>
          <w:rFonts w:ascii="Times New Roman" w:hAnsi="Times New Roman"/>
          <w:b w:val="false"/>
          <w:i w:val="false"/>
          <w:color w:val="000000"/>
          <w:sz w:val="16"/>
        </w:rPr>
        <w:t>, IAB 5/10/17, effective 6/14/17</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5/30/85—published 6/19/85, effective 5/30/85]</w:t>
      </w:r>
    </w:p>
    <w:p>
      <w:pPr>
        <w:spacing w:before="0" w:after="0"/>
        <w:ind w:left="120"/>
        <w:jc w:val="center"/>
      </w:pPr>
      <w:r>
        <w:rPr>
          <w:rFonts w:ascii="Times New Roman" w:hAnsi="Times New Roman"/>
          <w:b w:val="false"/>
          <w:i w:val="false"/>
          <w:color w:val="000000"/>
          <w:sz w:val="21"/>
        </w:rPr>
        <w:t>[Filed emergency 7/22/85—published 8/14/85, effective 8/14/85]</w:t>
      </w:r>
    </w:p>
    <w:p>
      <w:pPr>
        <w:spacing w:before="0" w:after="0"/>
        <w:ind w:left="120"/>
        <w:jc w:val="center"/>
      </w:pPr>
      <w:r>
        <w:rPr>
          <w:rFonts w:ascii="Times New Roman" w:hAnsi="Times New Roman"/>
          <w:b w:val="false"/>
          <w:i w:val="false"/>
          <w:color w:val="000000"/>
          <w:sz w:val="21"/>
        </w:rPr>
        <w:t>[Filed emergency 7/1/86—published 7/16/86, effective 7/1/86]</w:t>
      </w:r>
    </w:p>
    <w:p>
      <w:pPr>
        <w:spacing w:before="0" w:after="0"/>
        <w:ind w:left="120"/>
        <w:jc w:val="center"/>
      </w:pPr>
      <w:r>
        <w:rPr>
          <w:rFonts w:ascii="Times New Roman" w:hAnsi="Times New Roman"/>
          <w:b w:val="false"/>
          <w:i w:val="false"/>
          <w:color w:val="000000"/>
          <w:sz w:val="21"/>
        </w:rPr>
        <w:t>[Filed 3/3/88, Notice 1/27/88—published 3/23/88, effective 4/27/88]</w:t>
      </w:r>
    </w:p>
    <w:p>
      <w:pPr>
        <w:spacing w:before="0" w:after="0"/>
        <w:ind w:left="120"/>
        <w:jc w:val="center"/>
      </w:pPr>
      <w:r>
        <w:rPr>
          <w:rFonts w:ascii="Times New Roman" w:hAnsi="Times New Roman"/>
          <w:b w:val="false"/>
          <w:i w:val="false"/>
          <w:color w:val="000000"/>
          <w:sz w:val="21"/>
        </w:rPr>
        <w:t>[Filed 9/2/88, Notice 6/15/88—published 9/21/88, effective 10/26/88]</w:t>
      </w:r>
    </w:p>
    <w:p>
      <w:pPr>
        <w:spacing w:before="0" w:after="0"/>
        <w:ind w:left="120"/>
        <w:jc w:val="center"/>
      </w:pPr>
      <w:r>
        <w:rPr>
          <w:rFonts w:ascii="Times New Roman" w:hAnsi="Times New Roman"/>
          <w:b w:val="false"/>
          <w:i w:val="false"/>
          <w:color w:val="000000"/>
          <w:sz w:val="21"/>
        </w:rPr>
        <w:t>[Filed ARC 3055C</w:t>
      </w:r>
      <w:r>
        <w:rPr>
          <w:rFonts w:ascii="Times New Roman" w:hAnsi="Times New Roman"/>
          <w:b w:val="false"/>
          <w:i w:val="false"/>
          <w:color w:val="000000"/>
          <w:sz w:val="21"/>
        </w:rPr>
        <w:t xml:space="preserve"> (Notice ARC 2975C, IAB 3/15/17)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6676C</w:t>
      </w:r>
      <w:r>
        <w:rPr>
          <w:rFonts w:ascii="Times New Roman" w:hAnsi="Times New Roman"/>
          <w:b w:val="false"/>
          <w:i w:val="false"/>
          <w:color w:val="000000"/>
          <w:sz w:val="21"/>
        </w:rPr>
        <w:t xml:space="preserve"> (Notice ARC 6544C, IAB 9/21/22)</w:t>
      </w:r>
      <w:r>
        <w:rPr>
          <w:rFonts w:ascii="Times New Roman" w:hAnsi="Times New Roman"/>
          <w:b w:val="false"/>
          <w:i w:val="false"/>
          <w:color w:val="000000"/>
          <w:sz w:val="21"/>
        </w:rPr>
        <w:t>, IAB 11/16/22, effective 12/21/22]</w:t>
      </w:r>
    </w:p>
    <w:p>
      <w:pPr>
        <w:spacing w:before="0" w:after="0"/>
        <w:ind w:left="120"/>
        <w:jc w:val="center"/>
      </w:pPr>
      <w:r>
        <w:rPr>
          <w:rFonts w:ascii="Times New Roman" w:hAnsi="Times New Roman"/>
          <w:b w:val="false"/>
          <w:i w:val="false"/>
          <w:color w:val="000000"/>
          <w:sz w:val="21"/>
        </w:rPr>
        <w:t>[Filed ARC 7698C</w:t>
      </w:r>
      <w:r>
        <w:rPr>
          <w:rFonts w:ascii="Times New Roman" w:hAnsi="Times New Roman"/>
          <w:b w:val="false"/>
          <w:i w:val="false"/>
          <w:color w:val="000000"/>
          <w:sz w:val="21"/>
        </w:rPr>
        <w:t xml:space="preserve"> (Notice ARC 7065C, IAB 8/23/23)</w:t>
      </w:r>
      <w:r>
        <w:rPr>
          <w:rFonts w:ascii="Times New Roman" w:hAnsi="Times New Roman"/>
          <w:b w:val="false"/>
          <w:i w:val="false"/>
          <w:color w:val="000000"/>
          <w:sz w:val="21"/>
        </w:rPr>
        <w:t>, IAB 3/6/24, effective 7/1/24]</w:t>
      </w:r>
      <w:r>
        <w:rPr>
          <w:rFonts w:ascii="Times New Roman" w:hAnsi="Times New Roman"/>
          <w:b w:val="false"/>
          <w:i w:val="false"/>
          <w:color w:val="000000"/>
          <w:sz w:val="10"/>
        </w:rPr>
        <w:t>1</w:t>
      </w:r>
    </w:p>
    <w:p>
      <w:pPr>
        <w:spacing w:before="0" w:after="0"/>
        <w:ind w:left="120"/>
        <w:jc w:val="both"/>
      </w:pPr>
      <w:r>
        <w:rPr>
          <w:rFonts w:ascii="Times New Roman" w:hAnsi="Times New Roman"/>
          <w:b w:val="false"/>
          <w:i w:val="false"/>
          <w:color w:val="000000"/>
          <w:sz w:val="22"/>
        </w:rPr>
        <w:t xml:space="preserve">The effective date of </w:t>
      </w:r>
      <w:r>
        <w:rPr>
          <w:rFonts w:ascii="Times New Roman" w:hAnsi="Times New Roman"/>
          <w:b/>
          <w:i w:val="false"/>
          <w:color w:val="000000"/>
          <w:sz w:val="22"/>
        </w:rPr>
        <w:t>ARC 7698C</w:t>
      </w:r>
      <w:r>
        <w:rPr>
          <w:rFonts w:ascii="Times New Roman" w:hAnsi="Times New Roman"/>
          <w:b w:val="false"/>
          <w:i w:val="false"/>
          <w:color w:val="000000"/>
          <w:sz w:val="22"/>
        </w:rPr>
        <w:t xml:space="preserve"> was corrected to July 1, 2024, in the April 3, 2024, Iowa Administrative Bulletin.</w:t>
      </w:r>
    </w:p>
    <w:p>
      <w:pPr>
        <w:spacing w:before="0" w:after="0"/>
        <w:ind w:left="120"/>
        <w:jc w:val="both"/>
      </w:pP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9.19.pdf" Type="http://schemas.openxmlformats.org/officeDocument/2006/relationships/hyperlink" Id="rId5"/>
    <Relationship TargetMode="External" Target="https://www.legis.iowa.gov/docs/ico/chapter/237.16.pdf" Type="http://schemas.openxmlformats.org/officeDocument/2006/relationships/hyperlink" Id="rId6"/>
    <Relationship TargetMode="External" Target="https://www.legis.iowa.gov/docs/ico/chapter/7E.6.pdf" Type="http://schemas.openxmlformats.org/officeDocument/2006/relationships/hyperlink" Id="rId7"/>
    <Relationship TargetMode="External" Target="https://www.legis.iowa.gov/docs/ico/chapter/21.pdf" Type="http://schemas.openxmlformats.org/officeDocument/2006/relationships/hyperlink" Id="rId8"/>
    <Relationship TargetMode="External" Target="https://www.legis.iowa.gov/docs/ico/chapter/21.pdf" Type="http://schemas.openxmlformats.org/officeDocument/2006/relationships/hyperlink" Id="rId9"/>
    <Relationship TargetMode="External" Target="https://www.legis.iowa.gov/docs/ico/chapter/21.4.pdf" Type="http://schemas.openxmlformats.org/officeDocument/2006/relationships/hyperlink" Id="rId10"/>
    <Relationship TargetMode="External" Target="https://www.legis.iowa.gov/docs/ico/chapter/21.8.pdf" Type="http://schemas.openxmlformats.org/officeDocument/2006/relationships/hyperlink" Id="rId11"/>
    <Relationship TargetMode="External" Target="https://www.legis.iowa.gov/docs/ico/chapter/237.18.pdf" Type="http://schemas.openxmlformats.org/officeDocument/2006/relationships/hyperlink" Id="rId12"/>
    <Relationship TargetMode="External" Target="https://www.legis.iowa.gov/docs/ico/chapter/17A.3.pdf" Type="http://schemas.openxmlformats.org/officeDocument/2006/relationships/hyperlink" Id="rId13"/>
    <Relationship TargetMode="External" Target="https://www.legis.iowa.gov/docs/ico/chapter/237.16.pdf" Type="http://schemas.openxmlformats.org/officeDocument/2006/relationships/hyperlink" Id="rId14"/>
    <Relationship TargetMode="External" Target="https://www.legis.iowa.gov/docs/ico/chapter/237.18.pdf" Type="http://schemas.openxmlformats.org/officeDocument/2006/relationships/hyperlink" Id="rId15"/>
    <Relationship TargetMode="External" Target="https://www.legis.iowa.gov/docs/ico/chapter/17A.3.pdf" Type="http://schemas.openxmlformats.org/officeDocument/2006/relationships/hyperlink" Id="rId16"/>
    <Relationship TargetMode="External" Target="https://www.legis.iowa.gov/docs/ico/chapter/237.18.pdf" Type="http://schemas.openxmlformats.org/officeDocument/2006/relationships/hyperlink" Id="rId17"/>
    <Relationship TargetMode="External" Target="https://www.legis.iowa.gov/docs/ico/chapter/17A.3.pdf" Type="http://schemas.openxmlformats.org/officeDocument/2006/relationships/hyperlink" Id="rId18"/>
    <Relationship TargetMode="External" Target="https://www.legis.iowa.gov/docs/ico/chapter/237.17.pdf" Type="http://schemas.openxmlformats.org/officeDocument/2006/relationships/hyperlink" Id="rId19"/>
    <Relationship TargetMode="External" Target="https://www.legis.iowa.gov/docs/ico/chapter/237.21.pdf" Type="http://schemas.openxmlformats.org/officeDocument/2006/relationships/hyperlink" Id="rId20"/>
    <Relationship TargetMode="External" Target="https://www.legis.iowa.gov/docs/ico/chapter/17A.3.pdf" Type="http://schemas.openxmlformats.org/officeDocument/2006/relationships/hyperlink" Id="rId21"/>
    <Relationship TargetMode="External" Target="https://www.legis.iowa.gov/docs/ico/chapter/237.21.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