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RULINGS</w:t>
      </w:r>
    </w:p>
    <w:p>
      <w:pPr>
        <w:spacing w:before="0" w:after="0"/>
        <w:ind w:left="120"/>
        <w:jc w:val="center"/>
      </w:pPr>
      <w:r>
        <w:rPr>
          <w:rFonts w:ascii="Times New Roman" w:hAnsi="Times New Roman"/>
          <w:b w:val="false"/>
          <w:i w:val="false"/>
          <w:color w:val="000000"/>
          <w:sz w:val="14"/>
        </w:rPr>
        <w:t>[Prior to 5/18/88, see Higher Education Loan Authority, 480—Ch 2]</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Iowa higher education loan authority hereby adopts the declaratory rulings segments of the Uniform Administrative Rules which are printed in the first Volume of the Iowa Administrative Code, with the following amendments.</w:t>
      </w:r>
    </w:p>
    <w:p>
      <w:pPr>
        <w:spacing w:before="0" w:after="0"/>
        <w:ind w:left="120"/>
        <w:jc w:val="both"/>
      </w:pPr>
      <w:r>
        <w:rPr>
          <w:rFonts w:ascii="Times New Roman" w:hAnsi="Times New Roman"/>
          <w:b/>
          <w:i w:val="false"/>
          <w:color w:val="000000"/>
          <w:sz w:val="22"/>
        </w:rPr>
        <w:t>284—3.1</w:t>
      </w:r>
      <w:r>
        <w:rPr>
          <w:rFonts w:ascii="Times New Roman" w:hAnsi="Times New Roman"/>
          <w:b/>
          <w:i w:val="false"/>
          <w:color w:val="000000"/>
          <w:sz w:val="22"/>
        </w:rPr>
        <w:t xml:space="preserve">(261A) </w:t>
      </w:r>
      <w:r>
        <w:rPr>
          <w:rFonts w:ascii="Times New Roman" w:hAnsi="Times New Roman"/>
          <w:b/>
          <w:i w:val="false"/>
          <w:color w:val="000000"/>
          <w:sz w:val="22"/>
        </w:rPr>
        <w:t xml:space="preserve">Petition for declaratory rulings. </w:t>
      </w:r>
      <w:r>
        <w:rPr>
          <w:rFonts w:ascii="Times New Roman" w:hAnsi="Times New Roman"/>
          <w:b w:val="false"/>
          <w:i w:val="false"/>
          <w:color w:val="000000"/>
          <w:sz w:val="22"/>
        </w:rPr>
        <w:t>In lieu of the words “(AGENCY NAME)” the heading on the petition form should read: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“IOWA HIGHER EDUCATION LOAN AUTHORITY”</w:t>
      </w:r>
    </w:p>
    <w:p>
      <w:pPr>
        <w:spacing w:before="210" w:after="0"/>
        <w:ind w:left="120"/>
        <w:jc w:val="both"/>
      </w:pPr>
      <w:r>
        <w:rPr>
          <w:rFonts w:ascii="Times New Roman" w:hAnsi="Times New Roman"/>
          <w:b/>
          <w:i w:val="false"/>
          <w:color w:val="000000"/>
          <w:sz w:val="22"/>
        </w:rPr>
        <w:t>284—3.3</w:t>
      </w:r>
      <w:r>
        <w:rPr>
          <w:rFonts w:ascii="Times New Roman" w:hAnsi="Times New Roman"/>
          <w:b/>
          <w:i w:val="false"/>
          <w:color w:val="000000"/>
          <w:sz w:val="22"/>
        </w:rPr>
        <w:t xml:space="preserve">(261A)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a declaratory ruling may be made to the Executive Director, 309 Equitable Building, Des Moines, Iowa 50309.</w:t>
      </w:r>
    </w:p>
    <w:p>
      <w:pPr>
        <w:spacing w:before="0" w:after="0"/>
        <w:ind w:left="120"/>
        <w:jc w:val="center"/>
      </w:pPr>
      <w:r>
        <w:rPr>
          <w:rFonts w:ascii="Times New Roman" w:hAnsi="Times New Roman"/>
          <w:b w:val="false"/>
          <w:i w:val="false"/>
          <w:color w:val="000000"/>
          <w:sz w:val="21"/>
        </w:rPr>
        <w:t>[Filed 4/15/86, Notice 2/12/86—published 5/7/86, effective 6/11/86]</w:t>
      </w:r>
    </w:p>
    <w:p>
      <w:pPr>
        <w:spacing w:before="0" w:after="0"/>
        <w:ind w:left="120"/>
        <w:jc w:val="center"/>
      </w:pPr>
      <w:r>
        <w:rPr>
          <w:rFonts w:ascii="Times New Roman" w:hAnsi="Times New Roman"/>
          <w:b w:val="false"/>
          <w:i w:val="false"/>
          <w:color w:val="000000"/>
          <w:sz w:val="21"/>
        </w:rPr>
        <w:t>[Filed 10/31/86, Notice 9/10/86—published 11/19/86, effective 12/24/86]</w:t>
      </w:r>
    </w:p>
    <w:p>
      <w:pPr>
        <w:spacing w:before="0" w:after="0"/>
        <w:ind w:left="120"/>
        <w:jc w:val="center"/>
      </w:pPr>
      <w:r>
        <w:rPr>
          <w:rFonts w:ascii="Times New Roman" w:hAnsi="Times New Roman"/>
          <w:b w:val="false"/>
          <w:i w:val="false"/>
          <w:color w:val="000000"/>
          <w:sz w:val="21"/>
        </w:rPr>
        <w:t>[Filed 4/28/88, Notice 3/23/88—published 5/18/88, effective 6/22/88]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