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w:t>
      </w:r>
    </w:p>
    <w:p>
      <w:pPr>
        <w:spacing w:before="0" w:after="0"/>
        <w:ind w:left="120"/>
        <w:jc w:val="center"/>
      </w:pPr>
      <w:r>
        <w:rPr>
          <w:rFonts w:ascii="Times New Roman" w:hAnsi="Times New Roman"/>
          <w:b w:val="false"/>
          <w:i w:val="false"/>
          <w:color w:val="000000"/>
          <w:sz w:val="21"/>
        </w:rPr>
        <w:t>WAIVER RULES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4/10/29</w:t>
      </w:r>
    </w:p>
    <w:p>
      <w:pPr>
        <w:spacing w:before="0" w:after="0"/>
        <w:ind w:left="120"/>
        <w:jc w:val="both"/>
      </w:pPr>
      <w:r>
        <w:rPr>
          <w:rFonts w:ascii="Times New Roman" w:hAnsi="Times New Roman"/>
          <w:b/>
          <w:i w:val="false"/>
          <w:color w:val="000000"/>
          <w:sz w:val="22"/>
        </w:rPr>
        <w:t>263—6.1</w:t>
      </w:r>
      <w:r>
        <w:rPr>
          <w:rFonts w:ascii="Times New Roman" w:hAnsi="Times New Roman"/>
          <w:b/>
          <w:i w:val="false"/>
          <w:color w:val="000000"/>
          <w:sz w:val="22"/>
        </w:rPr>
        <w:t xml:space="preserve">(17A)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 xml:space="preserve">means the same as defined in Iowa Code section </w:t>
      </w:r>
      <w:hyperlink r:id="rId5">
        <w:r>
          <w:rPr>
            <w:rStyle w:val="Hyperlink"/>
            <w:rFonts w:ascii="Times New Roman" w:hAnsi="Times New Roman"/>
            <w:b w:val="false"/>
            <w:i w:val="false"/>
            <w:color w:val="000000"/>
            <w:sz w:val="22"/>
          </w:rPr>
          <w:t>368.1(3)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“Petitioner” </w:t>
      </w:r>
      <w:r>
        <w:rPr>
          <w:rFonts w:ascii="Times New Roman" w:hAnsi="Times New Roman"/>
          <w:b w:val="false"/>
          <w:i w:val="false"/>
          <w:color w:val="000000"/>
          <w:sz w:val="22"/>
        </w:rPr>
        <w:t>means a person who petitions an agency for the waiver of a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“Waiver”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17A.9A(5)</w:t>
        </w:r>
      </w:hyperlink>
      <w:r>
        <w:rPr>
          <w:rFonts w:ascii="Times New Roman" w:hAnsi="Times New Roman"/>
          <w:b w:val="false"/>
          <w:i w:val="false"/>
          <w:color w:val="000000"/>
          <w:sz w:val="22"/>
        </w:rPr>
        <w:t xml:space="preserve"> as applied to an action by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7704C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263—6.2</w:t>
      </w:r>
      <w:r>
        <w:rPr>
          <w:rFonts w:ascii="Times New Roman" w:hAnsi="Times New Roman"/>
          <w:b/>
          <w:i w:val="false"/>
          <w:color w:val="000000"/>
          <w:sz w:val="22"/>
        </w:rPr>
        <w:t xml:space="preserve">(17A) </w:t>
      </w:r>
      <w:r>
        <w:rPr>
          <w:rFonts w:ascii="Times New Roman" w:hAnsi="Times New Roman"/>
          <w:b/>
          <w:i w:val="false"/>
          <w:color w:val="000000"/>
          <w:sz w:val="22"/>
        </w:rPr>
        <w:t xml:space="preserve">Scope. </w:t>
      </w:r>
      <w:r>
        <w:rPr>
          <w:rFonts w:ascii="Times New Roman" w:hAnsi="Times New Roman"/>
          <w:b w:val="false"/>
          <w:i w:val="false"/>
          <w:color w:val="000000"/>
          <w:sz w:val="22"/>
        </w:rPr>
        <w:t>This chapter outlines generally applicable standards and a uniform process for the granting of individual waivers from rules adopted by the board in situations where no other more specifically applicable law provides for waivers. To the extent another more specific provision of law governs the issuance of a waiver from a particular rule, the more specific provision shall supersede this chapter with respect to any waiver from that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7704C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263—6.3</w:t>
      </w:r>
      <w:r>
        <w:rPr>
          <w:rFonts w:ascii="Times New Roman" w:hAnsi="Times New Roman"/>
          <w:b/>
          <w:i w:val="false"/>
          <w:color w:val="000000"/>
          <w:sz w:val="22"/>
        </w:rPr>
        <w:t xml:space="preserve">(17A) </w:t>
      </w:r>
      <w:r>
        <w:rPr>
          <w:rFonts w:ascii="Times New Roman" w:hAnsi="Times New Roman"/>
          <w:b/>
          <w:i w:val="false"/>
          <w:color w:val="000000"/>
          <w:sz w:val="22"/>
        </w:rPr>
        <w:t xml:space="preserve">Applicability. </w:t>
      </w:r>
      <w:r>
        <w:rPr>
          <w:rFonts w:ascii="Times New Roman" w:hAnsi="Times New Roman"/>
          <w:b w:val="false"/>
          <w:i w:val="false"/>
          <w:color w:val="000000"/>
          <w:sz w:val="22"/>
        </w:rPr>
        <w:t xml:space="preserve">The board may grant a waiver of a rule as permitted by Iowa Code section </w:t>
      </w:r>
      <w:hyperlink r:id="rId7">
        <w:r>
          <w:rPr>
            <w:rStyle w:val="Hyperlink"/>
            <w:rFonts w:ascii="Times New Roman" w:hAnsi="Times New Roman"/>
            <w:b w:val="false"/>
            <w:i w:val="false"/>
            <w:color w:val="000000"/>
            <w:sz w:val="22"/>
          </w:rPr>
          <w:t>17A.9A(1)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7704C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263—6.4</w:t>
      </w:r>
      <w:r>
        <w:rPr>
          <w:rFonts w:ascii="Times New Roman" w:hAnsi="Times New Roman"/>
          <w:b/>
          <w:i w:val="false"/>
          <w:color w:val="000000"/>
          <w:sz w:val="22"/>
        </w:rPr>
        <w:t xml:space="preserve">(17A) </w:t>
      </w:r>
      <w:r>
        <w:rPr>
          <w:rFonts w:ascii="Times New Roman" w:hAnsi="Times New Roman"/>
          <w:b/>
          <w:i w:val="false"/>
          <w:color w:val="000000"/>
          <w:sz w:val="22"/>
        </w:rPr>
        <w:t xml:space="preserve">Criteria for waiver. </w:t>
      </w:r>
      <w:r>
        <w:rPr>
          <w:rFonts w:ascii="Times New Roman" w:hAnsi="Times New Roman"/>
          <w:b w:val="false"/>
          <w:i w:val="false"/>
          <w:color w:val="000000"/>
          <w:sz w:val="22"/>
        </w:rPr>
        <w:t xml:space="preserve">In response to a petition completed pursuant to rule </w:t>
      </w:r>
      <w:hyperlink r:id="rId8">
        <w:r>
          <w:rPr>
            <w:rStyle w:val="Hyperlink"/>
            <w:rFonts w:ascii="Times New Roman" w:hAnsi="Times New Roman"/>
            <w:b w:val="false"/>
            <w:i w:val="false"/>
            <w:color w:val="000000"/>
            <w:sz w:val="22"/>
          </w:rPr>
          <w:t>263—6.6</w:t>
        </w:r>
      </w:hyperlink>
      <w:r>
        <w:rPr>
          <w:rFonts w:ascii="Times New Roman" w:hAnsi="Times New Roman"/>
          <w:b w:val="false"/>
          <w:i w:val="false"/>
          <w:color w:val="000000"/>
          <w:sz w:val="22"/>
        </w:rPr>
        <w:t xml:space="preserve">(17A), the board may issue a waiver if the board makes the applicable findings in Iowa Code section </w:t>
      </w:r>
      <w:hyperlink r:id="rId9">
        <w:r>
          <w:rPr>
            <w:rStyle w:val="Hyperlink"/>
            <w:rFonts w:ascii="Times New Roman" w:hAnsi="Times New Roman"/>
            <w:b w:val="false"/>
            <w:i w:val="false"/>
            <w:color w:val="000000"/>
            <w:sz w:val="22"/>
          </w:rPr>
          <w:t>17A.9A(2)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7704C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263—6.5</w:t>
      </w:r>
      <w:r>
        <w:rPr>
          <w:rFonts w:ascii="Times New Roman" w:hAnsi="Times New Roman"/>
          <w:b/>
          <w:i w:val="false"/>
          <w:color w:val="000000"/>
          <w:sz w:val="22"/>
        </w:rPr>
        <w:t xml:space="preserve">(17A) </w:t>
      </w:r>
      <w:r>
        <w:rPr>
          <w:rFonts w:ascii="Times New Roman" w:hAnsi="Times New Roman"/>
          <w:b/>
          <w:i w:val="false"/>
          <w:color w:val="000000"/>
          <w:sz w:val="22"/>
        </w:rPr>
        <w:t xml:space="preserve">Filing of petition. </w:t>
      </w:r>
      <w:r>
        <w:rPr>
          <w:rFonts w:ascii="Times New Roman" w:hAnsi="Times New Roman"/>
          <w:b w:val="false"/>
          <w:i w:val="false"/>
          <w:color w:val="000000"/>
          <w:sz w:val="22"/>
        </w:rPr>
        <w:t>A petition for a waiver must be submitted in writing to the board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w:t>
      </w:r>
      <w:r>
        <w:rPr>
          <w:rFonts w:ascii="Times New Roman" w:hAnsi="Times New Roman"/>
          <w:b w:val="false"/>
          <w:i w:val="false"/>
          <w:color w:val="000000"/>
          <w:sz w:val="22"/>
        </w:rPr>
        <w:t> </w:t>
      </w:r>
      <w:r>
        <w:rPr>
          <w:rFonts w:ascii="Times New Roman" w:hAnsi="Times New Roman"/>
          <w:b w:val="false"/>
          <w:i/>
          <w:color w:val="000000"/>
          <w:sz w:val="22"/>
        </w:rPr>
        <w:t xml:space="preserve">Pending matters. </w:t>
      </w:r>
      <w:r>
        <w:rPr>
          <w:rFonts w:ascii="Times New Roman" w:hAnsi="Times New Roman"/>
          <w:b w:val="false"/>
          <w:i w:val="false"/>
          <w:color w:val="000000"/>
          <w:sz w:val="22"/>
        </w:rPr>
        <w:t>If the petition relates to a pending petition or application for city development action, the petition requesting a waiver shall be filed in the pending proceeding, using the caption of that matter.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w:t>
      </w:r>
      <w:r>
        <w:rPr>
          <w:rFonts w:ascii="Times New Roman" w:hAnsi="Times New Roman"/>
          <w:b w:val="false"/>
          <w:i w:val="false"/>
          <w:color w:val="000000"/>
          <w:sz w:val="22"/>
        </w:rPr>
        <w:t> </w:t>
      </w:r>
      <w:r>
        <w:rPr>
          <w:rFonts w:ascii="Times New Roman" w:hAnsi="Times New Roman"/>
          <w:b w:val="false"/>
          <w:i/>
          <w:color w:val="000000"/>
          <w:sz w:val="22"/>
        </w:rPr>
        <w:t xml:space="preserve">Other. </w:t>
      </w:r>
      <w:r>
        <w:rPr>
          <w:rFonts w:ascii="Times New Roman" w:hAnsi="Times New Roman"/>
          <w:b w:val="false"/>
          <w:i w:val="false"/>
          <w:color w:val="000000"/>
          <w:sz w:val="22"/>
        </w:rPr>
        <w:t>If the petition does not relate to a pending matter, the petition may be submitted to the board chairperson.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7704C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263—6.6</w:t>
      </w:r>
      <w:r>
        <w:rPr>
          <w:rFonts w:ascii="Times New Roman" w:hAnsi="Times New Roman"/>
          <w:b/>
          <w:i w:val="false"/>
          <w:color w:val="000000"/>
          <w:sz w:val="22"/>
        </w:rPr>
        <w:t xml:space="preserve">(17A) </w:t>
      </w:r>
      <w:r>
        <w:rPr>
          <w:rFonts w:ascii="Times New Roman" w:hAnsi="Times New Roman"/>
          <w:b/>
          <w:i w:val="false"/>
          <w:color w:val="000000"/>
          <w:sz w:val="22"/>
        </w:rPr>
        <w:t xml:space="preserve">Content of petition. </w:t>
      </w:r>
      <w:r>
        <w:rPr>
          <w:rFonts w:ascii="Times New Roman" w:hAnsi="Times New Roman"/>
          <w:b w:val="false"/>
          <w:i w:val="false"/>
          <w:color w:val="000000"/>
          <w:sz w:val="22"/>
        </w:rPr>
        <w:t>A petition for waiver shall include the following information where applicable and known to the requester: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name, address, and telephone number of the entity or person for whom a waiver is requested and the case number of any related city development proceeding.</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description and citation of the specific rule from which a waiver is requested.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specific waiver requested, including the precise scope and duration.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The relevant facts that the petitioner believes would justify a waiver under each of the four criteria described in Iowa Code section </w:t>
      </w:r>
      <w:hyperlink r:id="rId10">
        <w:r>
          <w:rPr>
            <w:rStyle w:val="Hyperlink"/>
            <w:rFonts w:ascii="Times New Roman" w:hAnsi="Times New Roman"/>
            <w:b w:val="false"/>
            <w:i w:val="false"/>
            <w:color w:val="000000"/>
            <w:sz w:val="22"/>
          </w:rPr>
          <w:t>17A.9A(2)</w:t>
        </w:r>
      </w:hyperlink>
      <w:r>
        <w:rPr>
          <w:rFonts w:ascii="Times New Roman" w:hAnsi="Times New Roman"/>
          <w:b w:val="false"/>
          <w:i w:val="false"/>
          <w:color w:val="000000"/>
          <w:sz w:val="22"/>
        </w:rPr>
        <w:t>. This statement shall include a signed statement from the petitioner attesting to the accuracy of the facts provided in the petition and a statement of reasons that the petitioner believes will justify a waiver.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 history of any prior contacts between the board and the petitioner relating to the activity affected by the proposed waiver, including a description of each related city development action by the requester within the past five years.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Any information known to the requester regarding the board’s treatment of similar cases.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name, address, and telephone number of any public agency or political subdivision that might be affected by the granting of a waiver.</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The name, address, and telephone number of any entity or person who would be adversely affected by the granting of a petition, including all parties to the proceeding if the petition relates to a matter pending before the board.</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The name, address, and telephone number of any person with knowledge of the relevant facts relating to the proposed waiver.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7704C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263—6.7</w:t>
      </w:r>
      <w:r>
        <w:rPr>
          <w:rFonts w:ascii="Times New Roman" w:hAnsi="Times New Roman"/>
          <w:b/>
          <w:i w:val="false"/>
          <w:color w:val="000000"/>
          <w:sz w:val="22"/>
        </w:rPr>
        <w:t xml:space="preserve">(17A) </w:t>
      </w:r>
      <w:r>
        <w:rPr>
          <w:rFonts w:ascii="Times New Roman" w:hAnsi="Times New Roman"/>
          <w:b/>
          <w:i w:val="false"/>
          <w:color w:val="000000"/>
          <w:sz w:val="22"/>
        </w:rPr>
        <w:t xml:space="preserve">Additional information. </w:t>
      </w:r>
      <w:r>
        <w:rPr>
          <w:rFonts w:ascii="Times New Roman" w:hAnsi="Times New Roman"/>
          <w:b w:val="false"/>
          <w:i w:val="false"/>
          <w:color w:val="000000"/>
          <w:sz w:val="22"/>
        </w:rPr>
        <w:t>Prior to issuing an order granting or denying a waiver, the board may request additional information from the petitioner relative to the petition and surrounding circumstances. If the petition was not filed in a contested case, the board may, on its own motion or at the petitioner’s request, schedule a meeting between the petitioner and the board’s chair, or a committee of the board, or a quorum of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7704C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263—6.8</w:t>
      </w:r>
      <w:r>
        <w:rPr>
          <w:rFonts w:ascii="Times New Roman" w:hAnsi="Times New Roman"/>
          <w:b/>
          <w:i w:val="false"/>
          <w:color w:val="000000"/>
          <w:sz w:val="22"/>
        </w:rPr>
        <w:t xml:space="preserve">(17A) </w:t>
      </w:r>
      <w:r>
        <w:rPr>
          <w:rFonts w:ascii="Times New Roman" w:hAnsi="Times New Roman"/>
          <w:b/>
          <w:i w:val="false"/>
          <w:color w:val="000000"/>
          <w:sz w:val="22"/>
        </w:rPr>
        <w:t xml:space="preserve">Notice. </w:t>
      </w:r>
      <w:r>
        <w:rPr>
          <w:rFonts w:ascii="Times New Roman" w:hAnsi="Times New Roman"/>
          <w:b w:val="false"/>
          <w:i w:val="false"/>
          <w:color w:val="000000"/>
          <w:sz w:val="22"/>
        </w:rPr>
        <w:t>The board will acknowledge a petition upon receipt. The board shall ensure that, within 30 days of the receipt of the petition, notice of the pendency of the petition and a concise summary of its contents have been provided to all persons to whom notice is required by any provision of law. In addition, the board may give notice to other persons. To accomplish this notice provision, the board may require the petitioner to serve the notice on all persons to whom notice is required by any provision of law or who may be impacted by the requested waiver and provide a written statement to the board attesting that notice has been provided.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7704C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263—6.9</w:t>
      </w:r>
      <w:r>
        <w:rPr>
          <w:rFonts w:ascii="Times New Roman" w:hAnsi="Times New Roman"/>
          <w:b/>
          <w:i w:val="false"/>
          <w:color w:val="000000"/>
          <w:sz w:val="22"/>
        </w:rPr>
        <w:t xml:space="preserve">(17A) </w:t>
      </w:r>
      <w:r>
        <w:rPr>
          <w:rFonts w:ascii="Times New Roman" w:hAnsi="Times New Roman"/>
          <w:b/>
          <w:i w:val="false"/>
          <w:color w:val="000000"/>
          <w:sz w:val="22"/>
        </w:rPr>
        <w:t xml:space="preserve">Hearing procedures. </w:t>
      </w:r>
      <w:r>
        <w:rPr>
          <w:rFonts w:ascii="Times New Roman" w:hAnsi="Times New Roman"/>
          <w:b w:val="false"/>
          <w:i w:val="false"/>
          <w:color w:val="000000"/>
          <w:sz w:val="22"/>
        </w:rPr>
        <w:t xml:space="preserve">The provisions of Iowa Code sections </w:t>
      </w:r>
      <w:hyperlink r:id="rId11">
        <w:r>
          <w:rPr>
            <w:rStyle w:val="Hyperlink"/>
            <w:rFonts w:ascii="Times New Roman" w:hAnsi="Times New Roman"/>
            <w:b w:val="false"/>
            <w:i w:val="false"/>
            <w:color w:val="000000"/>
            <w:sz w:val="22"/>
          </w:rPr>
          <w:t>17A.10 to 17A.18A</w:t>
        </w:r>
      </w:hyperlink>
      <w:r>
        <w:rPr>
          <w:rFonts w:ascii="Times New Roman" w:hAnsi="Times New Roman"/>
          <w:b w:val="false"/>
          <w:i w:val="false"/>
          <w:color w:val="000000"/>
          <w:sz w:val="22"/>
        </w:rPr>
        <w:t xml:space="preserve"> regarding contested case hearings apply to any petition for a waiver filed within a pending city development action pursuant to subrule </w:t>
      </w:r>
      <w:hyperlink r:id="rId12">
        <w:r>
          <w:rPr>
            <w:rStyle w:val="Hyperlink"/>
            <w:rFonts w:ascii="Times New Roman" w:hAnsi="Times New Roman"/>
            <w:b w:val="false"/>
            <w:i w:val="false"/>
            <w:color w:val="000000"/>
            <w:sz w:val="22"/>
          </w:rPr>
          <w:t>6.5(1)</w:t>
        </w:r>
      </w:hyperlink>
      <w:r>
        <w:rPr>
          <w:rFonts w:ascii="Times New Roman" w:hAnsi="Times New Roman"/>
          <w:b w:val="false"/>
          <w:i w:val="false"/>
          <w:color w:val="000000"/>
          <w:sz w:val="22"/>
        </w:rPr>
        <w:t xml:space="preserve">. If a petition for waiver is filed with the board pursuant to subrule </w:t>
      </w:r>
      <w:hyperlink r:id="rId13">
        <w:r>
          <w:rPr>
            <w:rStyle w:val="Hyperlink"/>
            <w:rFonts w:ascii="Times New Roman" w:hAnsi="Times New Roman"/>
            <w:b w:val="false"/>
            <w:i w:val="false"/>
            <w:color w:val="000000"/>
            <w:sz w:val="22"/>
          </w:rPr>
          <w:t>6.5(2)</w:t>
        </w:r>
      </w:hyperlink>
      <w:r>
        <w:rPr>
          <w:rFonts w:ascii="Times New Roman" w:hAnsi="Times New Roman"/>
          <w:b w:val="false"/>
          <w:i w:val="false"/>
          <w:color w:val="000000"/>
          <w:sz w:val="22"/>
        </w:rPr>
        <w:t xml:space="preserve">, the provisions of Iowa Code sections </w:t>
      </w:r>
      <w:hyperlink r:id="rId14">
        <w:r>
          <w:rPr>
            <w:rStyle w:val="Hyperlink"/>
            <w:rFonts w:ascii="Times New Roman" w:hAnsi="Times New Roman"/>
            <w:b w:val="false"/>
            <w:i w:val="false"/>
            <w:color w:val="000000"/>
            <w:sz w:val="22"/>
          </w:rPr>
          <w:t>17A.10 to 17A.18A</w:t>
        </w:r>
      </w:hyperlink>
      <w:r>
        <w:rPr>
          <w:rFonts w:ascii="Times New Roman" w:hAnsi="Times New Roman"/>
          <w:b w:val="false"/>
          <w:i w:val="false"/>
          <w:color w:val="000000"/>
          <w:sz w:val="22"/>
        </w:rPr>
        <w:t xml:space="preserve"> apply to board proceedings for a waiver only when the board so provides by rule or order or is required to do so by statute.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7704C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263—6.10</w:t>
      </w:r>
      <w:r>
        <w:rPr>
          <w:rFonts w:ascii="Times New Roman" w:hAnsi="Times New Roman"/>
          <w:b/>
          <w:i w:val="false"/>
          <w:color w:val="000000"/>
          <w:sz w:val="22"/>
        </w:rPr>
        <w:t xml:space="preserve">(17A) </w:t>
      </w:r>
      <w:r>
        <w:rPr>
          <w:rFonts w:ascii="Times New Roman" w:hAnsi="Times New Roman"/>
          <w:b/>
          <w:i w:val="false"/>
          <w:color w:val="000000"/>
          <w:sz w:val="22"/>
        </w:rPr>
        <w:t xml:space="preserve">Ruling. </w:t>
      </w:r>
      <w:r>
        <w:rPr>
          <w:rFonts w:ascii="Times New Roman" w:hAnsi="Times New Roman"/>
          <w:b w:val="false"/>
          <w:i w:val="false"/>
          <w:color w:val="000000"/>
          <w:sz w:val="22"/>
        </w:rPr>
        <w:t xml:space="preserve">Iowa Code section </w:t>
      </w:r>
      <w:hyperlink r:id="rId15">
        <w:r>
          <w:rPr>
            <w:rStyle w:val="Hyperlink"/>
            <w:rFonts w:ascii="Times New Roman" w:hAnsi="Times New Roman"/>
            <w:b w:val="false"/>
            <w:i w:val="false"/>
            <w:color w:val="000000"/>
            <w:sz w:val="22"/>
          </w:rPr>
          <w:t>17A.9A(3)</w:t>
        </w:r>
      </w:hyperlink>
      <w:r>
        <w:rPr>
          <w:rFonts w:ascii="Times New Roman" w:hAnsi="Times New Roman"/>
          <w:b w:val="false"/>
          <w:i w:val="false"/>
          <w:color w:val="000000"/>
          <w:sz w:val="22"/>
        </w:rPr>
        <w:t xml:space="preserve"> describes certain procedural aspects for considering a petition for waiver and issuing a ruling thereon, including the burden of persuasion; the manner in which a petition for waiver must be evaluated; the limits of the waiver, if one is issued; and the circumstances under which the board may place a condition on the waiver. When the rule from which a waiver is sought establishes administrative deadlines, the board shall balance the special individual circumstances of the petitioner with the overall goal of uniform treatment of all similarly situated persons. The board shall have the sole discretion to decide whether to grant a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6.10(1)</w:t>
      </w:r>
      <w:r>
        <w:rPr>
          <w:rFonts w:ascii="Times New Roman" w:hAnsi="Times New Roman"/>
          <w:b w:val="false"/>
          <w:i w:val="false"/>
          <w:color w:val="000000"/>
          <w:sz w:val="22"/>
        </w:rPr>
        <w:t> </w:t>
      </w:r>
      <w:r>
        <w:rPr>
          <w:rFonts w:ascii="Times New Roman" w:hAnsi="Times New Roman"/>
          <w:b w:val="false"/>
          <w:i/>
          <w:color w:val="000000"/>
          <w:sz w:val="22"/>
        </w:rPr>
        <w:t xml:space="preserve">Form of ruling. </w:t>
      </w:r>
      <w:r>
        <w:rPr>
          <w:rFonts w:ascii="Times New Roman" w:hAnsi="Times New Roman"/>
          <w:b w:val="false"/>
          <w:i w:val="false"/>
          <w:color w:val="000000"/>
          <w:sz w:val="22"/>
        </w:rPr>
        <w:t>An order granting or denying a waiver shall be in writing and shall contain a reference to the particular person and rule or portion thereof to which the order pertains, a statement of the relevant facts and reasons upon which the action is based, and a description of the precise scope and duration of the waiver, if one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6.10(2)</w:t>
      </w:r>
      <w:r>
        <w:rPr>
          <w:rFonts w:ascii="Times New Roman" w:hAnsi="Times New Roman"/>
          <w:b w:val="false"/>
          <w:i w:val="false"/>
          <w:color w:val="000000"/>
          <w:sz w:val="22"/>
        </w:rPr>
        <w:t> </w:t>
      </w:r>
      <w:r>
        <w:rPr>
          <w:rFonts w:ascii="Times New Roman" w:hAnsi="Times New Roman"/>
          <w:b w:val="false"/>
          <w:i/>
          <w:color w:val="000000"/>
          <w:sz w:val="22"/>
        </w:rPr>
        <w:t xml:space="preserve">Time for ruling. </w:t>
      </w:r>
      <w:r>
        <w:rPr>
          <w:rFonts w:ascii="Times New Roman" w:hAnsi="Times New Roman"/>
          <w:b w:val="false"/>
          <w:i w:val="false"/>
          <w:color w:val="000000"/>
          <w:sz w:val="22"/>
        </w:rPr>
        <w:t>The board shall grant or deny a petition for a waiver as soon as practicable but, in any event, shall do so within 90 days of its receipt, unless the petitioner agrees to a later date. However, if a petition is filed in a pending city development action, the board shall grant or deny the petition no later than the time at which the final decision in that matter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6.10(3)</w:t>
      </w:r>
      <w:r>
        <w:rPr>
          <w:rFonts w:ascii="Times New Roman" w:hAnsi="Times New Roman"/>
          <w:b w:val="false"/>
          <w:i w:val="false"/>
          <w:color w:val="000000"/>
          <w:sz w:val="22"/>
        </w:rPr>
        <w:t> </w:t>
      </w:r>
      <w:r>
        <w:rPr>
          <w:rFonts w:ascii="Times New Roman" w:hAnsi="Times New Roman"/>
          <w:b w:val="false"/>
          <w:i/>
          <w:color w:val="000000"/>
          <w:sz w:val="22"/>
        </w:rPr>
        <w:t xml:space="preserve">When deemed denied. </w:t>
      </w:r>
      <w:r>
        <w:rPr>
          <w:rFonts w:ascii="Times New Roman" w:hAnsi="Times New Roman"/>
          <w:b w:val="false"/>
          <w:i w:val="false"/>
          <w:color w:val="000000"/>
          <w:sz w:val="22"/>
        </w:rPr>
        <w:t>Failure of the board to grant or deny a petition within the required time period shall be deemed a denial of that petition by the board. However, the board shall remain responsible for issuing an order denying a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6.10(4)</w:t>
      </w:r>
      <w:r>
        <w:rPr>
          <w:rFonts w:ascii="Times New Roman" w:hAnsi="Times New Roman"/>
          <w:b w:val="false"/>
          <w:i w:val="false"/>
          <w:color w:val="000000"/>
          <w:sz w:val="22"/>
        </w:rPr>
        <w:t> </w:t>
      </w:r>
      <w:r>
        <w:rPr>
          <w:rFonts w:ascii="Times New Roman" w:hAnsi="Times New Roman"/>
          <w:b w:val="false"/>
          <w:i/>
          <w:color w:val="000000"/>
          <w:sz w:val="22"/>
        </w:rPr>
        <w:t xml:space="preserve">Service of order. </w:t>
      </w:r>
      <w:r>
        <w:rPr>
          <w:rFonts w:ascii="Times New Roman" w:hAnsi="Times New Roman"/>
          <w:b w:val="false"/>
          <w:i w:val="false"/>
          <w:color w:val="000000"/>
          <w:sz w:val="22"/>
        </w:rPr>
        <w:t>Within seven days of its issuance, any order issued under this chapter shall be transmitted to the petitioner or the person to whom the order pertains and to any other person entitled to such notice by any provision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6.10(5)</w:t>
      </w:r>
      <w:r>
        <w:rPr>
          <w:rFonts w:ascii="Times New Roman" w:hAnsi="Times New Roman"/>
          <w:b w:val="false"/>
          <w:i w:val="false"/>
          <w:color w:val="000000"/>
          <w:sz w:val="22"/>
        </w:rPr>
        <w:t> </w:t>
      </w:r>
      <w:r>
        <w:rPr>
          <w:rFonts w:ascii="Times New Roman" w:hAnsi="Times New Roman"/>
          <w:b w:val="false"/>
          <w:i/>
          <w:color w:val="000000"/>
          <w:sz w:val="22"/>
        </w:rPr>
        <w:t xml:space="preserve">Filing of waiver ruling. </w:t>
      </w:r>
      <w:r>
        <w:rPr>
          <w:rFonts w:ascii="Times New Roman" w:hAnsi="Times New Roman"/>
          <w:b w:val="false"/>
          <w:i w:val="false"/>
          <w:color w:val="000000"/>
          <w:sz w:val="22"/>
        </w:rPr>
        <w:t xml:space="preserve">Within 60 days of granting or denying a waiver, the board shall submit information as required by Iowa Code section </w:t>
      </w:r>
      <w:hyperlink r:id="rId16">
        <w:r>
          <w:rPr>
            <w:rStyle w:val="Hyperlink"/>
            <w:rFonts w:ascii="Times New Roman" w:hAnsi="Times New Roman"/>
            <w:b w:val="false"/>
            <w:i w:val="false"/>
            <w:color w:val="000000"/>
            <w:sz w:val="22"/>
          </w:rPr>
          <w:t>17A.9A(4)</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7704C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263—6.11</w:t>
      </w:r>
      <w:r>
        <w:rPr>
          <w:rFonts w:ascii="Times New Roman" w:hAnsi="Times New Roman"/>
          <w:b/>
          <w:i w:val="false"/>
          <w:color w:val="000000"/>
          <w:sz w:val="22"/>
        </w:rPr>
        <w:t xml:space="preserve">(17A) </w:t>
      </w:r>
      <w:r>
        <w:rPr>
          <w:rFonts w:ascii="Times New Roman" w:hAnsi="Times New Roman"/>
          <w:b/>
          <w:i w:val="false"/>
          <w:color w:val="000000"/>
          <w:sz w:val="22"/>
        </w:rPr>
        <w:t xml:space="preserve">Cancellation of a waiver. </w:t>
      </w:r>
      <w:r>
        <w:rPr>
          <w:rFonts w:ascii="Times New Roman" w:hAnsi="Times New Roman"/>
          <w:b w:val="false"/>
          <w:i w:val="false"/>
          <w:color w:val="000000"/>
          <w:sz w:val="22"/>
        </w:rPr>
        <w:t>A waiver issued by the board pursuant to this chapter may be withdrawn, canceled, or modified if, after appropriate notice and hearing, the board issues an order finding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petitioner or the person who was the subject of the waiver order withheld or misrepresented material facts relevant to the propriety or desirability of the waiver;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alternative means for ensuring that the public health, safety and welfare will be adequately protected after issuance of the waiver order have been demonstrated to be insufficient;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subject of the waiver order has failed to comply with all conditions contained in the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7704C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263—6.12</w:t>
      </w:r>
      <w:r>
        <w:rPr>
          <w:rFonts w:ascii="Times New Roman" w:hAnsi="Times New Roman"/>
          <w:b/>
          <w:i w:val="false"/>
          <w:color w:val="000000"/>
          <w:sz w:val="22"/>
        </w:rPr>
        <w:t xml:space="preserve">(17A) </w:t>
      </w:r>
      <w:r>
        <w:rPr>
          <w:rFonts w:ascii="Times New Roman" w:hAnsi="Times New Roman"/>
          <w:b/>
          <w:i w:val="false"/>
          <w:color w:val="000000"/>
          <w:sz w:val="22"/>
        </w:rPr>
        <w:t xml:space="preserve">Violations. </w:t>
      </w:r>
      <w:r>
        <w:rPr>
          <w:rFonts w:ascii="Times New Roman" w:hAnsi="Times New Roman"/>
          <w:b w:val="false"/>
          <w:i w:val="false"/>
          <w:color w:val="000000"/>
          <w:sz w:val="22"/>
        </w:rPr>
        <w:t>Violation of a condition in a waiver order shall be treated as a violation of the particular rule for which the waiver was granted. As a result, the recipient of a waiver under this chapter who violates a condition of the waiver may be subject to the same remedies or penalties as a person who violates the rule at issue.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7704C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263—6.13</w:t>
      </w:r>
      <w:r>
        <w:rPr>
          <w:rFonts w:ascii="Times New Roman" w:hAnsi="Times New Roman"/>
          <w:b/>
          <w:i w:val="false"/>
          <w:color w:val="000000"/>
          <w:sz w:val="22"/>
        </w:rPr>
        <w:t xml:space="preserve">(17A) </w:t>
      </w:r>
      <w:r>
        <w:rPr>
          <w:rFonts w:ascii="Times New Roman" w:hAnsi="Times New Roman"/>
          <w:b/>
          <w:i w:val="false"/>
          <w:color w:val="000000"/>
          <w:sz w:val="22"/>
        </w:rPr>
        <w:t xml:space="preserve">Defense. </w:t>
      </w:r>
      <w:r>
        <w:rPr>
          <w:rFonts w:ascii="Times New Roman" w:hAnsi="Times New Roman"/>
          <w:b w:val="false"/>
          <w:i w:val="false"/>
          <w:color w:val="000000"/>
          <w:sz w:val="22"/>
        </w:rPr>
        <w:t>After the board issues an order granting a waiver, the order is a defense within its terms and the specific facts indicated therein for the person to whom the order pertains in any proceeding in which the rule in question is sought to be invoked.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7704C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7">
        <w:r>
          <w:rPr>
            <w:rStyle w:val="Hyperlink"/>
            <w:rFonts w:ascii="Times New Roman" w:hAnsi="Times New Roman"/>
            <w:b w:val="false"/>
            <w:i w:val="false"/>
            <w:color w:val="000000"/>
            <w:sz w:val="22"/>
          </w:rPr>
          <w:t>17A.9A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11/20/02, Notice 7/10/02—published 12/11/02, effective 1/15/03]</w:t>
      </w:r>
    </w:p>
    <w:p>
      <w:pPr>
        <w:spacing w:before="0" w:after="0"/>
        <w:ind w:left="120"/>
        <w:jc w:val="center"/>
      </w:pPr>
      <w:r>
        <w:rPr>
          <w:rFonts w:ascii="Times New Roman" w:hAnsi="Times New Roman"/>
          <w:b w:val="false"/>
          <w:i w:val="false"/>
          <w:color w:val="000000"/>
          <w:sz w:val="21"/>
        </w:rPr>
        <w:t>[Filed ARC 5823C</w:t>
      </w:r>
      <w:r>
        <w:rPr>
          <w:rFonts w:ascii="Times New Roman" w:hAnsi="Times New Roman"/>
          <w:b w:val="false"/>
          <w:i w:val="false"/>
          <w:color w:val="000000"/>
          <w:sz w:val="21"/>
        </w:rPr>
        <w:t xml:space="preserve"> (Notice ARC 5620C, IAB 5/19/21)</w:t>
      </w:r>
      <w:r>
        <w:rPr>
          <w:rFonts w:ascii="Times New Roman" w:hAnsi="Times New Roman"/>
          <w:b w:val="false"/>
          <w:i w:val="false"/>
          <w:color w:val="000000"/>
          <w:sz w:val="21"/>
        </w:rPr>
        <w:t>, IAB 8/11/21, effective 9/15/21]</w:t>
      </w:r>
    </w:p>
    <w:p>
      <w:pPr>
        <w:spacing w:before="0" w:after="0"/>
        <w:ind w:left="120"/>
        <w:jc w:val="center"/>
      </w:pPr>
      <w:r>
        <w:rPr>
          <w:rFonts w:ascii="Times New Roman" w:hAnsi="Times New Roman"/>
          <w:b w:val="false"/>
          <w:i w:val="false"/>
          <w:color w:val="000000"/>
          <w:sz w:val="21"/>
        </w:rPr>
        <w:t>[Filed ARC 7704C</w:t>
      </w:r>
      <w:r>
        <w:rPr>
          <w:rFonts w:ascii="Times New Roman" w:hAnsi="Times New Roman"/>
          <w:b w:val="false"/>
          <w:i w:val="false"/>
          <w:color w:val="000000"/>
          <w:sz w:val="21"/>
        </w:rPr>
        <w:t xml:space="preserve"> (Notice ARC 7136C, IAB 12/13/23)</w:t>
      </w:r>
      <w:r>
        <w:rPr>
          <w:rFonts w:ascii="Times New Roman" w:hAnsi="Times New Roman"/>
          <w:b w:val="false"/>
          <w:i w:val="false"/>
          <w:color w:val="000000"/>
          <w:sz w:val="21"/>
        </w:rPr>
        <w:t>, IAB 3/6/24, effective 4/10/24]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68.1.pdf" Type="http://schemas.openxmlformats.org/officeDocument/2006/relationships/hyperlink" Id="rId5"/>
    <Relationship TargetMode="External" Target="https://www.legis.iowa.gov/docs/ico/chapter/17A.9A.pdf" Type="http://schemas.openxmlformats.org/officeDocument/2006/relationships/hyperlink" Id="rId6"/>
    <Relationship TargetMode="External" Target="https://www.legis.iowa.gov/docs/ico/chapter/17A.9A.pdf" Type="http://schemas.openxmlformats.org/officeDocument/2006/relationships/hyperlink" Id="rId7"/>
    <Relationship TargetMode="External" Target="https://www.legis.iowa.gov/docs/iac/rule/263.6.6.pdf" Type="http://schemas.openxmlformats.org/officeDocument/2006/relationships/hyperlink" Id="rId8"/>
    <Relationship TargetMode="External" Target="https://www.legis.iowa.gov/docs/ico/chapter/17A.9A.pdf" Type="http://schemas.openxmlformats.org/officeDocument/2006/relationships/hyperlink" Id="rId9"/>
    <Relationship TargetMode="External" Target="https://www.legis.iowa.gov/docs/ico/chapter/17A.9A.pdf" Type="http://schemas.openxmlformats.org/officeDocument/2006/relationships/hyperlink" Id="rId10"/>
    <Relationship TargetMode="External" Target="https://www.legis.iowa.gov/docs/ico/chapter/17A.10-18A.pdf" Type="http://schemas.openxmlformats.org/officeDocument/2006/relationships/hyperlink" Id="rId11"/>
    <Relationship TargetMode="External" Target="https://www.legis.iowa.gov/docs/iac/rule/263.6.5.pdf" Type="http://schemas.openxmlformats.org/officeDocument/2006/relationships/hyperlink" Id="rId12"/>
    <Relationship TargetMode="External" Target="https://www.legis.iowa.gov/docs/iac/rule/263.6.5.pdf" Type="http://schemas.openxmlformats.org/officeDocument/2006/relationships/hyperlink" Id="rId13"/>
    <Relationship TargetMode="External" Target="https://www.legis.iowa.gov/docs/ico/chapter/17A.10-18A.pdf" Type="http://schemas.openxmlformats.org/officeDocument/2006/relationships/hyperlink" Id="rId14"/>
    <Relationship TargetMode="External" Target="https://www.legis.iowa.gov/docs/ico/chapter/17A.9A.pdf" Type="http://schemas.openxmlformats.org/officeDocument/2006/relationships/hyperlink" Id="rId15"/>
    <Relationship TargetMode="External" Target="https://www.legis.iowa.gov/docs/ico/chapter/17A.9A.pdf" Type="http://schemas.openxmlformats.org/officeDocument/2006/relationships/hyperlink" Id="rId16"/>
    <Relationship TargetMode="External" Target="https://www.legis.iowa.gov/docs/ico/chapter/17A.9A.pdf" Type="http://schemas.openxmlformats.org/officeDocument/2006/relationships/hyperlink" Id="rId1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