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1/13/88, see Civil Rights 240—1.5(2), 1.5(3), 1.8 to 1.15, 1.18]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161—4.1</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Scope and applicability. </w:t>
      </w:r>
      <w:r>
        <w:rPr>
          <w:rFonts w:ascii="Times New Roman" w:hAnsi="Times New Roman"/>
          <w:b w:val="false"/>
          <w:i w:val="false"/>
          <w:color w:val="000000"/>
          <w:sz w:val="22"/>
        </w:rPr>
        <w:t>This chapter applies to contested case proceedings conducted by the Iowa civil rights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Prosecutory representative of commission. </w:t>
      </w:r>
      <w:r>
        <w:rPr>
          <w:rFonts w:ascii="Times New Roman" w:hAnsi="Times New Roman"/>
          <w:b w:val="false"/>
          <w:i w:val="false"/>
          <w:color w:val="000000"/>
          <w:sz w:val="22"/>
        </w:rPr>
        <w:t>The commission’s case in support of the complaint shall be presented by the attorney or agent of the commission. An assistant attorney general may represent the Iowa civil rights commission at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 xml:space="preserve">Time shall be computed as provided in Iowa Code subsection </w:t>
      </w:r>
      <w:hyperlink r:id="rId5">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time limits. </w:t>
      </w:r>
      <w:r>
        <w:rPr>
          <w:rFonts w:ascii="Times New Roman" w:hAnsi="Times New Roman"/>
          <w:b w:val="false"/>
          <w:i w:val="false"/>
          <w:color w:val="000000"/>
          <w:sz w:val="22"/>
        </w:rPr>
        <w:t>For good cause shown,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service by mail. </w:t>
      </w:r>
      <w:r>
        <w:rPr>
          <w:rFonts w:ascii="Times New Roman" w:hAnsi="Times New Roman"/>
          <w:b w:val="false"/>
          <w:i w:val="false"/>
          <w:color w:val="000000"/>
          <w:sz w:val="22"/>
        </w:rPr>
        <w:t>Whenever a party has the right or is required by this chapter to do some act or take some proceedings within a prescribed period after the service of a notice or other paper upon that party and the notice or paper is served upon that party by mail, three days shall be added to the prescribed period. Such additional time shall not be applicable where the presiding officer has prescribed the method of service of notice and the number of days to be given. This rule has no effect on actions which must be taken within a prescribed period after the issuance of a proposed decision or final order.</w:t>
      </w:r>
    </w:p>
    <w:p>
      <w:pPr>
        <w:spacing w:before="0" w:after="0"/>
        <w:ind w:left="120"/>
        <w:jc w:val="both"/>
      </w:pPr>
      <w:r>
        <w:rPr>
          <w:rFonts w:ascii="Times New Roman" w:hAnsi="Times New Roman"/>
          <w:b/>
          <w:i w:val="false"/>
          <w:color w:val="000000"/>
          <w:sz w:val="22"/>
        </w:rPr>
        <w:t>161—4.2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and answer.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Statement of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conciliation efforts fail and it is determined that the record justifies proceeding to hearing, the commission’s attorney or the executive director shall prepare a written statement of charges in support of the complaint and forward it to the presiding officer together with a request for a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of charges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allegation that the respondent is a proper respondent within the meaning of and subject to provisions of the Iowa civil rights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factual allegation or allegations of an unfair or discriminatory practice or practices, substantially as uncovered in the investigation, stated in the complaint (including amendments thereto), stated in the order of probable cause, or stated in the investigative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charges is sufficient if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Names the respondents and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States the section(s) of the statute alleged to be violated;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Incorporates by reference the complaint and any amendments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statement of charges shall also specifically identify all allegations, if any, in the complaint, as amended,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been closed by other than a probable cause finding,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has elected not to prosecute despite a probable cause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allegations identified pursuant to paragraph </w:t>
      </w:r>
      <w:hyperlink r:id="rId6">
        <w:r>
          <w:rPr>
            <w:rStyle w:val="Hyperlink"/>
            <w:rFonts w:ascii="Times New Roman" w:hAnsi="Times New Roman"/>
            <w:b w:val="false"/>
            <w:i w:val="false"/>
            <w:color w:val="000000"/>
            <w:sz w:val="22"/>
          </w:rPr>
          <w:t>4.2(1)</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considered as a claim of discrimination in the contested case proceeding, but evidence on such allegations may be considered when relevant to other allegations of discrimination or as background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Scheduling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set the matter for a scheduling conference in order that the parties, including the commission, and the presiding officer may arrive at a mutually agreed date for the public hearing. If practicable, the scheduling conference should be set for no sooner than 7 and no later than 30 days after the presiding officer receives the statement of charges. The parties may be notified by regular mail of the date of the scheduling conference. The scheduling conference may be conducted in whole or in part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date can be agreed upon, the date of the public hearing may be set according to the presiding officer’s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public hearing should be scheduled for as early a date as practicable. In setting the date of hearing the availability of the presiding officer, the parties, the attorneys involved, likely witnesses, and any special circumstances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setting the place of hearing, the location of the presiding officer, the parties, the attorneys involved, likely witnesses, and any special circumstances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Delivery of the notice of hearing constitutes the commencement of the contested case proceeding. Delivery shall be executed by any of the following means: certified mail with return receipt requested, personal service as provided in the Iowa Rules of Civil Procedure, first-class mail, or publication as provided by the Iowa Rules of Civil Procedure to all interested parties or their attorneys at least 30 days before the date of the hearing. Certified mail return receipts, returns of service, or similar evidence of service shall be filed with the presiding officer.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nature of the hearing, the legal authority and jurisdiction under which the hearing is being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This requirement may be satisfied by a statement of the issues as described by the statement of charges or an incorporation of the attached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reference to the sections of the statute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commission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Answer to notice of hearing. </w:t>
      </w:r>
      <w:r>
        <w:rPr>
          <w:rFonts w:ascii="Times New Roman" w:hAnsi="Times New Roman"/>
          <w:b w:val="false"/>
          <w:i w:val="false"/>
          <w:color w:val="000000"/>
          <w:sz w:val="22"/>
        </w:rPr>
        <w:t>The respondent is encouraged to file an answer to the allegations contained within the notice of hearing within 20 days of the service of the notice of hearing. Answers are encouraged as a means of sharpening the issues and preserving claimed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answer is filed, it should show on whose behalf it is filed and specifically admit, deny, or otherwise answer all material allegations contained within the notice of hearing. The answer should also state any facts alleged to show an affirmative defense and contain as many additional defenses as the respondent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should state the name, address and telephone number of the person filing the answer, the person or entity on whose behalf the answer is filed, and the attorney, if any, representing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file an answer or failure to follow the guidelines of this rule does not by itself constitute a waiver of any argument nor an admission of any issue. The optional nature of the answer, however, does not affect the respondent’s obligations to raise issues in a timely fashion, to reply to discovery, or to fulfill any other obligation which is imposed upon respondent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assigned to render a proposed decision shall be an administrative law judge employed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used in these rules the term “presiding officer” shall mean the administrative law judge employed by the department of inspections and appeals assigned to render a proposed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rules </w:t>
      </w:r>
      <w:hyperlink r:id="rId7">
        <w:r>
          <w:rPr>
            <w:rStyle w:val="Hyperlink"/>
            <w:rFonts w:ascii="Times New Roman" w:hAnsi="Times New Roman"/>
            <w:b w:val="false"/>
            <w:i w:val="false"/>
            <w:color w:val="000000"/>
            <w:sz w:val="22"/>
          </w:rPr>
          <w:t>161—4.13(17A)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161—4.14(17A)</w:t>
        </w:r>
      </w:hyperlink>
      <w:r>
        <w:rPr>
          <w:rFonts w:ascii="Times New Roman" w:hAnsi="Times New Roman"/>
          <w:b w:val="false"/>
          <w:i w:val="false"/>
          <w:color w:val="000000"/>
          <w:sz w:val="22"/>
        </w:rPr>
        <w:t xml:space="preserve"> the term “presiding officer” shall include the commissioners of the Iowa civil rights commission as well as the administrative law judge assigned to render a proposed decision in the contested case.</w:t>
      </w:r>
    </w:p>
    <w:p>
      <w:pPr>
        <w:spacing w:before="0" w:after="0"/>
        <w:ind w:left="120"/>
        <w:jc w:val="both"/>
      </w:pPr>
      <w:r>
        <w:rPr>
          <w:rFonts w:ascii="Times New Roman" w:hAnsi="Times New Roman"/>
          <w:b/>
          <w:i w:val="false"/>
          <w:color w:val="000000"/>
          <w:sz w:val="22"/>
        </w:rPr>
        <w:t>161—4.3</w:t>
      </w:r>
      <w:r>
        <w:rPr>
          <w:rFonts w:ascii="Times New Roman" w:hAnsi="Times New Roman"/>
          <w:b/>
          <w:i w:val="false"/>
          <w:color w:val="000000"/>
          <w:sz w:val="22"/>
        </w:rPr>
        <w:t xml:space="preserve">(17A) </w:t>
      </w:r>
      <w:r>
        <w:rPr>
          <w:rFonts w:ascii="Times New Roman" w:hAnsi="Times New Roman"/>
          <w:b/>
          <w:i w:val="false"/>
          <w:color w:val="000000"/>
          <w:sz w:val="22"/>
        </w:rPr>
        <w:t xml:space="preserve">Amendment.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Any notice of hearing, petition, statement of charges,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 Leave to amend, including leave to amend to conform to the proof, shall be freely given when justice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Amendment to conform to proof. When issues not raised by the notice of hearing or the answer are tried by express or implied consent of the parties, they shall be treated in all respects as if they had been raised in the pleadings. Such amendment of the pleadings as may be necessary to cause them to conform to the evidence and to raise these issues may be made upon motion of any party at any time, even after the final decision; but failure so to amend does not affect the result of the trial of these issues. If evidence is objected to at the hearing on the ground that it is not within the issues made by the pleadings, the presiding officer may allow the pleadings to be amended and shall do so freely when the presentation of the merits of the action will be served thereby and the objecting party fails to satisfy the presiding officer that the admission of such evidence would prejudice that party in maintaining the action or defense upon the merits. The presiding officer may grant a continuance to enable the objecting party to meet such evidence.</w:t>
      </w:r>
    </w:p>
    <w:p>
      <w:pPr>
        <w:spacing w:before="0" w:after="0"/>
        <w:ind w:left="120"/>
        <w:jc w:val="both"/>
      </w:pPr>
      <w:r>
        <w:rPr>
          <w:rFonts w:ascii="Times New Roman" w:hAnsi="Times New Roman"/>
          <w:b/>
          <w:i w:val="false"/>
          <w:color w:val="000000"/>
          <w:sz w:val="22"/>
        </w:rPr>
        <w:t>161—4.4</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rule </w:t>
      </w:r>
      <w:hyperlink r:id="rId9">
        <w:r>
          <w:rPr>
            <w:rStyle w:val="Hyperlink"/>
            <w:rFonts w:ascii="Times New Roman" w:hAnsi="Times New Roman"/>
            <w:b w:val="false"/>
            <w:i w:val="false"/>
            <w:color w:val="000000"/>
            <w:sz w:val="22"/>
          </w:rPr>
          <w:t>161—4.23(17A)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Iowa Rule of Civil Procedure 236.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10">
        <w:r>
          <w:rPr>
            <w:rStyle w:val="Hyperlink"/>
            <w:rFonts w:ascii="Times New Roman" w:hAnsi="Times New Roman"/>
            <w:b w:val="false"/>
            <w:i w:val="false"/>
            <w:color w:val="000000"/>
            <w:sz w:val="22"/>
          </w:rPr>
          <w:t>161—4.25(17A)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notice of hearing and the commission’s remedial authority under the Iowa civil rights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w:t>
      </w:r>
    </w:p>
    <w:p>
      <w:pPr>
        <w:spacing w:before="0" w:after="0"/>
        <w:ind w:left="120"/>
        <w:jc w:val="both"/>
      </w:pPr>
      <w:r>
        <w:rPr>
          <w:rFonts w:ascii="Times New Roman" w:hAnsi="Times New Roman"/>
          <w:b/>
          <w:i w:val="false"/>
          <w:color w:val="000000"/>
          <w:sz w:val="22"/>
        </w:rPr>
        <w:t>161—4.5</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Grounds for consolidation. </w:t>
      </w:r>
      <w:r>
        <w:rPr>
          <w:rFonts w:ascii="Times New Roman" w:hAnsi="Times New Roman"/>
          <w:b w:val="false"/>
          <w:i w:val="false"/>
          <w:color w:val="000000"/>
          <w:sz w:val="22"/>
        </w:rPr>
        <w:t>The presiding officer may, upon motion,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Effect of consolidation. </w:t>
      </w:r>
      <w:r>
        <w:rPr>
          <w:rFonts w:ascii="Times New Roman" w:hAnsi="Times New Roman"/>
          <w:b w:val="false"/>
          <w:i w:val="false"/>
          <w:color w:val="000000"/>
          <w:sz w:val="22"/>
        </w:rPr>
        <w:t>Where consolidated hearings are held, a single record of the proceedings may be made and the evidence introduced in one matter may be considered as introduced in the other, and a separate or joint decision shall be made at the discretion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161—4.6</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and service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other paper relating to discovery in such a proceeding shall be served upon each of the parties of record to the proceeding, including the person designated as advocate or prosecutor for the commission, simultaneously with their filing. Except for the original notice of hearing and an application for rehearing as provided in Iowa Code section </w:t>
      </w:r>
      <w:hyperlink r:id="rId11">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delivering, mailing, or transmitting by fax (facsimile) a copy to the attorney or to the party at the attorney’s or party’s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shall be filed with the presiding officer at the following address: Civil Rights Administrative Law Judge (or the name of the presiding officer), Department of Inspections and Appeals, Lucas State Office Building, Des Moines, Iowa 50319. Except as provided by these rules, the Iowa Rules of Civil Procedure pertaining to discovery, or other law, all pleadings, motions, documents or other papers that are required to be served upon a party shall be filed simultaneously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Filing—how and when made. </w:t>
      </w:r>
      <w:r>
        <w:rPr>
          <w:rFonts w:ascii="Times New Roman" w:hAnsi="Times New Roman"/>
          <w:b w:val="false"/>
          <w:i w:val="false"/>
          <w:color w:val="000000"/>
          <w:sz w:val="22"/>
        </w:rPr>
        <w:t xml:space="preserve">In a contested case before the commission a document is filed by any of the methods described in </w:t>
      </w:r>
      <w:hyperlink r:id="rId12">
        <w:r>
          <w:rPr>
            <w:rStyle w:val="Hyperlink"/>
            <w:rFonts w:ascii="Times New Roman" w:hAnsi="Times New Roman"/>
            <w:b w:val="false"/>
            <w:i w:val="false"/>
            <w:color w:val="000000"/>
            <w:sz w:val="22"/>
          </w:rPr>
          <w:t>481—subrule 10.12(3)</w:t>
        </w:r>
      </w:hyperlink>
      <w:r>
        <w:rPr>
          <w:rFonts w:ascii="Times New Roman" w:hAnsi="Times New Roman"/>
          <w:b w:val="false"/>
          <w:i w:val="false"/>
          <w:color w:val="000000"/>
          <w:sz w:val="22"/>
        </w:rPr>
        <w:t xml:space="preserve">. The date a document is deemed to be filed in a contested case before the commission is determined according to </w:t>
      </w:r>
      <w:hyperlink r:id="rId13">
        <w:r>
          <w:rPr>
            <w:rStyle w:val="Hyperlink"/>
            <w:rFonts w:ascii="Times New Roman" w:hAnsi="Times New Roman"/>
            <w:b w:val="false"/>
            <w:i w:val="false"/>
            <w:color w:val="000000"/>
            <w:sz w:val="22"/>
          </w:rPr>
          <w:t>481—subrule 10.12(3)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before the commission proof of mailing is made according to </w:t>
      </w:r>
      <w:hyperlink r:id="rId14">
        <w:r>
          <w:rPr>
            <w:rStyle w:val="Hyperlink"/>
            <w:rFonts w:ascii="Times New Roman" w:hAnsi="Times New Roman"/>
            <w:b w:val="false"/>
            <w:i w:val="false"/>
            <w:color w:val="000000"/>
            <w:sz w:val="22"/>
          </w:rPr>
          <w:t>481—subrule 10.12(4)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among proofs of mailing . The date of mailing is the date shown by the legible United States Postal Service postmark and, only in the absence of a legible postmark, the date of mailing is the date shown by the affidavit, certificate, or certification of mailing.</w:t>
      </w:r>
    </w:p>
    <w:p>
      <w:pPr>
        <w:spacing w:before="0" w:after="0"/>
        <w:ind w:left="120"/>
        <w:jc w:val="both"/>
      </w:pPr>
      <w:r>
        <w:rPr>
          <w:rFonts w:ascii="Times New Roman" w:hAnsi="Times New Roman"/>
          <w:b/>
          <w:i w:val="false"/>
          <w:color w:val="000000"/>
          <w:sz w:val="22"/>
        </w:rPr>
        <w:t>161—4.7</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Civil procedure rules govern discovery. </w:t>
      </w:r>
      <w:r>
        <w:rPr>
          <w:rFonts w:ascii="Times New Roman" w:hAnsi="Times New Roman"/>
          <w:b w:val="false"/>
          <w:i w:val="false"/>
          <w:color w:val="000000"/>
          <w:sz w:val="22"/>
        </w:rPr>
        <w:t>Discovery procedures applicable in civil actions, as set forth in the Iowa Rules of Civil Procedure,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Motions relating to discovery. </w:t>
      </w:r>
      <w:r>
        <w:rPr>
          <w:rFonts w:ascii="Times New Roman" w:hAnsi="Times New Roman"/>
          <w:b w:val="false"/>
          <w:i w:val="false"/>
          <w:color w:val="000000"/>
          <w:sz w:val="22"/>
        </w:rPr>
        <w:t xml:space="preserve">Any motion relating to discovery shall allege that the moving party has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w:t>
      </w:r>
      <w:hyperlink r:id="rId15">
        <w:r>
          <w:rPr>
            <w:rStyle w:val="Hyperlink"/>
            <w:rFonts w:ascii="Times New Roman" w:hAnsi="Times New Roman"/>
            <w:b w:val="false"/>
            <w:i w:val="false"/>
            <w:color w:val="000000"/>
            <w:sz w:val="22"/>
          </w:rPr>
          <w:t>subrule 4.7(1)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Use at hearing.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Sanctions available. </w:t>
      </w:r>
      <w:r>
        <w:rPr>
          <w:rFonts w:ascii="Times New Roman" w:hAnsi="Times New Roman"/>
          <w:b w:val="false"/>
          <w:i w:val="false"/>
          <w:color w:val="000000"/>
          <w:sz w:val="22"/>
        </w:rPr>
        <w:t>The Iowa Rules of Civil Procedure govern what sanctions may be imposed by the presiding officer for the failure to comply with a discovery order, the failure to respond to discovery, or failing to otherwise comply with the rules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Discovery on commission and complainant. </w:t>
      </w:r>
      <w:r>
        <w:rPr>
          <w:rFonts w:ascii="Times New Roman" w:hAnsi="Times New Roman"/>
          <w:b w:val="false"/>
          <w:i w:val="false"/>
          <w:color w:val="000000"/>
          <w:sz w:val="22"/>
        </w:rPr>
        <w:t xml:space="preserve">When discovery of information from the complainant is sought, discovery should be made upon the complainant with a copy thereof provided to the commission’s representative. When discovery of information from the commission is sought, discovery should be made upon the commission with a copy thereof provided to the complainant or the complainant’s representative. Discovery of the commission’s investigative file may be made pursuant to Iowa Code section </w:t>
      </w:r>
      <w:hyperlink r:id="rId16">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w:t>
      </w:r>
      <w:r>
        <w:rPr>
          <w:rFonts w:ascii="Times New Roman" w:hAnsi="Times New Roman"/>
          <w:b w:val="false"/>
          <w:i w:val="false"/>
          <w:color w:val="000000"/>
          <w:sz w:val="22"/>
        </w:rPr>
        <w:t> </w:t>
      </w:r>
      <w:r>
        <w:rPr>
          <w:rFonts w:ascii="Times New Roman" w:hAnsi="Times New Roman"/>
          <w:b w:val="false"/>
          <w:i/>
          <w:color w:val="000000"/>
          <w:sz w:val="22"/>
        </w:rPr>
        <w:t xml:space="preserve">Discovery materials not filed. </w:t>
      </w:r>
      <w:r>
        <w:rPr>
          <w:rFonts w:ascii="Times New Roman" w:hAnsi="Times New Roman"/>
          <w:b w:val="false"/>
          <w:i w:val="false"/>
          <w:color w:val="000000"/>
          <w:sz w:val="22"/>
        </w:rPr>
        <w:t>Unless otherwise ordered by the presiding officer, no deposition, notice of deposition, interrogatory, request for production of documents, request for admission, or response, document or thing produced, or objection thereto shall be filed. Any motion attacking the sufficiency of a response to a discovery request must have a copy of the request and response attached or the motion may be denied. This rule does not apply to depositions to perpetuate testimony.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4.7(7)</w:t>
      </w:r>
      <w:r>
        <w:rPr>
          <w:rFonts w:ascii="Times New Roman" w:hAnsi="Times New Roman"/>
          <w:b w:val="false"/>
          <w:i w:val="false"/>
          <w:color w:val="000000"/>
          <w:sz w:val="22"/>
        </w:rPr>
        <w:t> </w:t>
      </w:r>
      <w:r>
        <w:rPr>
          <w:rFonts w:ascii="Times New Roman" w:hAnsi="Times New Roman"/>
          <w:b w:val="false"/>
          <w:i/>
          <w:color w:val="000000"/>
          <w:sz w:val="22"/>
        </w:rPr>
        <w:t xml:space="preserve">Discovery conference. </w:t>
      </w:r>
      <w:r>
        <w:rPr>
          <w:rFonts w:ascii="Times New Roman" w:hAnsi="Times New Roman"/>
          <w:b w:val="false"/>
          <w:i w:val="false"/>
          <w:color w:val="000000"/>
          <w:sz w:val="22"/>
        </w:rPr>
        <w:t>A discovery conference may be ordered, requested, and held in the same manner and upon the same terms as are provided for in Iowa Rule of Civil Procedure 124.2.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w:t>
      </w:r>
      <w:r>
        <w:rPr>
          <w:rFonts w:ascii="Times New Roman" w:hAnsi="Times New Roman"/>
          <w:b w:val="false"/>
          <w:i w:val="false"/>
          <w:color w:val="000000"/>
          <w:sz w:val="22"/>
        </w:rPr>
        <w:t> </w:t>
      </w:r>
      <w:r>
        <w:rPr>
          <w:rFonts w:ascii="Times New Roman" w:hAnsi="Times New Roman"/>
          <w:b w:val="false"/>
          <w:i/>
          <w:color w:val="000000"/>
          <w:sz w:val="22"/>
        </w:rPr>
        <w:t xml:space="preserve">Duplication of civil procedure rules. </w:t>
      </w:r>
      <w:r>
        <w:rPr>
          <w:rFonts w:ascii="Times New Roman" w:hAnsi="Times New Roman"/>
          <w:b w:val="false"/>
          <w:i w:val="false"/>
          <w:color w:val="000000"/>
          <w:sz w:val="22"/>
        </w:rPr>
        <w:t>The duplication in these rules of provisions contained within the Iowa Rules of Civil Procedure relating to discovery does not imply that other portions of the civil procedure rules do not govern discovery in contested cases before the commission.</w:t>
      </w:r>
    </w:p>
    <w:p>
      <w:pPr>
        <w:spacing w:before="0" w:after="0"/>
        <w:ind w:left="120"/>
        <w:jc w:val="both"/>
      </w:pPr>
      <w:r>
        <w:rPr>
          <w:rFonts w:ascii="Times New Roman" w:hAnsi="Times New Roman"/>
          <w:b/>
          <w:i w:val="false"/>
          <w:color w:val="000000"/>
          <w:sz w:val="22"/>
        </w:rPr>
        <w:t>161—4.8</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Issuance of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commission subpoena shall be issued to a party upon request. Such a request should be in writing, but oral requests may be honored by the presiding officer. The request shall include the name, address, and telephone number of the requesting party. The presiding officer may issue a subpoena, or a subpoena for the production of documentary evidence, signed but otherwise in blank to a party requesting it, who shall fill it in before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161—4.9</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No technical form for motions is required. However prehearing motions must be in writing, state the grounds for relief, and state the relief sought. Any motion for summary judgment shall comply with the Iowa Rules of Civil Procedure. Motions made during the hearing may be stated orally upon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Response. </w:t>
      </w:r>
      <w:r>
        <w:rPr>
          <w:rFonts w:ascii="Times New Roman" w:hAnsi="Times New Roman"/>
          <w:b w:val="false"/>
          <w:i w:val="false"/>
          <w:color w:val="000000"/>
          <w:sz w:val="22"/>
        </w:rPr>
        <w:t>Any party may file a written response to a motion within 14 days after the motion is served, unless the time period is extended or shortened by the rules of the commission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Oral argument.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Oral arguments on motions shall be held in Des Moines or by telephone conference call, unless the presiding officer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arguments will be made at the discretion of the presiding officer. A record may be made by tape recording or by certified shorthand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expense of transcribing a record of the oral argument or any part thereof shall be charged to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Motions regarding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Motions regarding sequestration of witnesses need not be made ten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color w:val="000000"/>
          <w:sz w:val="22"/>
        </w:rPr>
        <w:t xml:space="preserve">Motions for summary judgment. </w:t>
      </w:r>
      <w:r>
        <w:rPr>
          <w:rFonts w:ascii="Times New Roman" w:hAnsi="Times New Roman"/>
          <w:b w:val="false"/>
          <w:i w:val="false"/>
          <w:color w:val="000000"/>
          <w:sz w:val="22"/>
        </w:rPr>
        <w:t>Motions for summary judgment shall comply with the requirements of Iowa Rule of Civil Procedure 237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w:t>
      </w:r>
      <w:hyperlink r:id="rId17">
        <w:r>
          <w:rPr>
            <w:rStyle w:val="Hyperlink"/>
            <w:rFonts w:ascii="Times New Roman" w:hAnsi="Times New Roman"/>
            <w:b w:val="false"/>
            <w:i w:val="false"/>
            <w:color w:val="000000"/>
            <w:sz w:val="22"/>
          </w:rPr>
          <w:t>rule 4.30(17A)</w:t>
        </w:r>
      </w:hyperlink>
      <w:r>
        <w:rPr>
          <w:rFonts w:ascii="Times New Roman" w:hAnsi="Times New Roman"/>
          <w:b w:val="false"/>
          <w:i w:val="false"/>
          <w:color w:val="000000"/>
          <w:sz w:val="22"/>
        </w:rPr>
        <w:t xml:space="preserve"> and appeal pursuant to </w:t>
      </w:r>
      <w:hyperlink r:id="rId18">
        <w:r>
          <w:rPr>
            <w:rStyle w:val="Hyperlink"/>
            <w:rFonts w:ascii="Times New Roman" w:hAnsi="Times New Roman"/>
            <w:b w:val="false"/>
            <w:i w:val="false"/>
            <w:color w:val="000000"/>
            <w:sz w:val="22"/>
          </w:rPr>
          <w:t>rule 4.23(17A)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161—4.10</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4.10(1)</w:t>
      </w:r>
      <w:r>
        <w:rPr>
          <w:rFonts w:ascii="Times New Roman" w:hAnsi="Times New Roman"/>
          <w:b w:val="false"/>
          <w:i w:val="false"/>
          <w:color w:val="000000"/>
          <w:sz w:val="22"/>
        </w:rPr>
        <w:t> </w:t>
      </w:r>
      <w:r>
        <w:rPr>
          <w:rFonts w:ascii="Times New Roman" w:hAnsi="Times New Roman"/>
          <w:b w:val="false"/>
          <w:i w:val="false"/>
          <w:color w:val="000000"/>
          <w:sz w:val="22"/>
        </w:rPr>
        <w:t>Subject matter of conference. Upon the presiding officer’s own motion or the motion of the parties, the presiding officer may direct the parties or their counsel to meet with the presiding officer for a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Simplification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Necessity or desirability of amendments to pleadings for purposes of clarification, simplification,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admissions of fact and of contents and authenticity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Scheduling dates for the exchange of witness lists and proposed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Identifying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other matters, including discovery matters, as may tend to expedite the disposition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4.10(2)</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A record of the conference will be kept unless otherwise ordered by the presiding officer. A record of the conference may be by tape recording or by certified shorthand reporter. A party may request a copy of the tape recording or transcript of the conference, if it was recorded; or a transcript of the conference, if it was reported, and the requesting party will bear the cost of the recording or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4.10(3)</w:t>
      </w:r>
      <w:r>
        <w:rPr>
          <w:rFonts w:ascii="Times New Roman" w:hAnsi="Times New Roman"/>
          <w:b w:val="false"/>
          <w:i w:val="false"/>
          <w:color w:val="000000"/>
          <w:sz w:val="22"/>
        </w:rPr>
        <w:t> </w:t>
      </w:r>
      <w:r>
        <w:rPr>
          <w:rFonts w:ascii="Times New Roman" w:hAnsi="Times New Roman"/>
          <w:b w:val="false"/>
          <w:i w:val="false"/>
          <w:color w:val="000000"/>
          <w:sz w:val="22"/>
        </w:rPr>
        <w:t>Effect of conference. The record shall show the matters disposed of by order and by agreement in such pretrial conferences. The subsequent course of the proceeding shall be controlled by such action.</w:t>
      </w:r>
    </w:p>
    <w:p>
      <w:pPr>
        <w:spacing w:before="0" w:after="0"/>
        <w:ind w:left="120"/>
        <w:jc w:val="both"/>
      </w:pPr>
      <w:r>
        <w:rPr>
          <w:rFonts w:ascii="Times New Roman" w:hAnsi="Times New Roman"/>
          <w:b/>
          <w:i w:val="false"/>
          <w:color w:val="000000"/>
          <w:sz w:val="22"/>
        </w:rPr>
        <w:t>161—4.11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Written or oral motions for continuance. A written motion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motion for a continuance may be made if the presiding officer waives the requirement for a written motion. However, a party making an oral motion for a continuance must confirm that request by written motion within five days after the oral request unless that requirement is waived by the presiding officer. No motion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Factors to consider. 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and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require documentation of any grounds for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w:t>
      </w:r>
      <w:r>
        <w:rPr>
          <w:rFonts w:ascii="Times New Roman" w:hAnsi="Times New Roman"/>
          <w:b w:val="false"/>
          <w:i w:val="false"/>
          <w:color w:val="000000"/>
          <w:sz w:val="22"/>
        </w:rPr>
        <w:t> </w:t>
      </w:r>
      <w:r>
        <w:rPr>
          <w:rFonts w:ascii="Times New Roman" w:hAnsi="Times New Roman"/>
          <w:b w:val="false"/>
          <w:i w:val="false"/>
          <w:color w:val="000000"/>
          <w:sz w:val="22"/>
        </w:rPr>
        <w:t>Failure of a party to timely obtain counsel, after clear and adequate notice of the right to be represented by an attorney, will not be considered grounds for a continuance in order to allow time to obtain counsel.</w:t>
      </w:r>
    </w:p>
    <w:p>
      <w:pPr>
        <w:spacing w:before="210" w:after="0"/>
        <w:ind w:left="120"/>
        <w:jc w:val="both"/>
      </w:pPr>
      <w:r>
        <w:rPr>
          <w:rFonts w:ascii="Times New Roman" w:hAnsi="Times New Roman"/>
          <w:b/>
          <w:i w:val="false"/>
          <w:color w:val="000000"/>
          <w:sz w:val="22"/>
        </w:rPr>
        <w:t>161—4.12</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or by order of the presiding officer.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161—4.13</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19(3), and </w:t>
      </w:r>
      <w:hyperlink r:id="rId19">
        <w:r>
          <w:rPr>
            <w:rStyle w:val="Hyperlink"/>
            <w:rFonts w:ascii="Times New Roman" w:hAnsi="Times New Roman"/>
            <w:b w:val="false"/>
            <w:i w:val="false"/>
            <w:color w:val="000000"/>
            <w:sz w:val="22"/>
          </w:rPr>
          <w:t>subrules 4.13(3)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1">
        <w:r>
          <w:rPr>
            <w:rStyle w:val="Hyperlink"/>
            <w:rFonts w:ascii="Times New Roman" w:hAnsi="Times New Roman"/>
            <w:b w:val="false"/>
            <w:i w:val="false"/>
            <w:color w:val="000000"/>
            <w:sz w:val="22"/>
          </w:rPr>
          <w:t>4.13(1)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19(7).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shall withdraw. If the presiding officer determines that withdrawal is not required, the presiding officer shall enter an order to that effect. A party asserting disqualification may seek an interlocutory appeal under rule </w:t>
      </w:r>
      <w:hyperlink r:id="rId22">
        <w:r>
          <w:rPr>
            <w:rStyle w:val="Hyperlink"/>
            <w:rFonts w:ascii="Times New Roman" w:hAnsi="Times New Roman"/>
            <w:b w:val="false"/>
            <w:i w:val="false"/>
            <w:color w:val="000000"/>
            <w:sz w:val="22"/>
          </w:rPr>
          <w:t>161—4.25(17A)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4.13(5)</w:t>
      </w:r>
      <w:r>
        <w:rPr>
          <w:rFonts w:ascii="Times New Roman" w:hAnsi="Times New Roman"/>
          <w:b w:val="false"/>
          <w:i w:val="false"/>
          <w:color w:val="000000"/>
          <w:sz w:val="22"/>
        </w:rPr>
        <w:t> </w:t>
      </w:r>
      <w:r>
        <w:rPr>
          <w:rFonts w:ascii="Times New Roman" w:hAnsi="Times New Roman"/>
          <w:b w:val="false"/>
          <w:i w:val="false"/>
          <w:color w:val="000000"/>
          <w:sz w:val="22"/>
        </w:rPr>
        <w:t xml:space="preserve">Remittal of disqualification. A presiding officer disqualified by the terms of </w:t>
      </w:r>
      <w:hyperlink r:id="rId23">
        <w:r>
          <w:rPr>
            <w:rStyle w:val="Hyperlink"/>
            <w:rFonts w:ascii="Times New Roman" w:hAnsi="Times New Roman"/>
            <w:b w:val="false"/>
            <w:i w:val="false"/>
            <w:color w:val="000000"/>
            <w:sz w:val="22"/>
          </w:rPr>
          <w:t>4.13(1)</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may, instead of withdrawing from the proceeding, disclose, either in writing or orally, on the record the basis of the disqualification. If, based on such disclosure, the parties and lawyers, independently of the administrative adjudicator’s participation, all agree in writing that the adjudicator’s relationship is immaterial or that the adjudicator’s financial interest is insubstantial, the adjudicator is no longer disqualified, and may participate in the proceeding. The agreement, signed by all parties and lawyers, shall be incorporated in the record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4.13(6)</w:t>
      </w:r>
      <w:r>
        <w:rPr>
          <w:rFonts w:ascii="Times New Roman" w:hAnsi="Times New Roman"/>
          <w:b w:val="false"/>
          <w:i w:val="false"/>
          <w:color w:val="000000"/>
          <w:sz w:val="22"/>
        </w:rPr>
        <w:t> </w:t>
      </w:r>
      <w:r>
        <w:rPr>
          <w:rFonts w:ascii="Times New Roman" w:hAnsi="Times New Roman"/>
          <w:b w:val="false"/>
          <w:i w:val="false"/>
          <w:color w:val="000000"/>
          <w:sz w:val="22"/>
        </w:rPr>
        <w:t>Partial disqualification of commission. The disqualification of one or more members of the commission who are considering adoption of a proposed decision of the presiding officer shall not prevent the remaining commissioners from considering the proposed decision.</w:t>
      </w:r>
    </w:p>
    <w:p>
      <w:pPr>
        <w:spacing w:before="0" w:after="0"/>
        <w:ind w:left="120"/>
        <w:jc w:val="both"/>
      </w:pPr>
      <w:r>
        <w:rPr>
          <w:rFonts w:ascii="Times New Roman" w:hAnsi="Times New Roman"/>
          <w:b/>
          <w:i w:val="false"/>
          <w:color w:val="000000"/>
          <w:sz w:val="22"/>
        </w:rPr>
        <w:t>161—4.14</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to render a proposed or final decision or to make findings of fact or conclusions of law in the contested case from communicating with each other. Nothing in this provision is intended to preclude the presiding officer from communicating with members of the agency or seeking the advice or help of persons other than those with a personal interest in, or those engaged in personally investigating as defined in subrule </w:t>
      </w:r>
      <w:hyperlink r:id="rId24">
        <w:r>
          <w:rPr>
            <w:rStyle w:val="Hyperlink"/>
            <w:rFonts w:ascii="Times New Roman" w:hAnsi="Times New Roman"/>
            <w:b w:val="false"/>
            <w:i w:val="false"/>
            <w:color w:val="000000"/>
            <w:sz w:val="22"/>
          </w:rPr>
          <w:t>4.13(2)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25">
        <w:r>
          <w:rPr>
            <w:rStyle w:val="Hyperlink"/>
            <w:rFonts w:ascii="Times New Roman" w:hAnsi="Times New Roman"/>
            <w:b w:val="false"/>
            <w:i w:val="false"/>
            <w:color w:val="000000"/>
            <w:sz w:val="22"/>
          </w:rPr>
          <w:t>161—4.6(17A)</w:t>
        </w:r>
      </w:hyperlink>
      <w:r>
        <w:rPr>
          <w:rFonts w:ascii="Times New Roman" w:hAnsi="Times New Roman"/>
          <w:b w:val="false"/>
          <w:i w:val="false"/>
          <w:color w:val="000000"/>
          <w:sz w:val="22"/>
        </w:rPr>
        <w:t xml:space="preserve">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26">
        <w:r>
          <w:rPr>
            <w:rStyle w:val="Hyperlink"/>
            <w:rFonts w:ascii="Times New Roman" w:hAnsi="Times New Roman"/>
            <w:b w:val="false"/>
            <w:i w:val="false"/>
            <w:color w:val="000000"/>
            <w:sz w:val="22"/>
          </w:rPr>
          <w:t>161—4.11(17A)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4.14(8)</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7">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4.14(9)</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prohibitions by agency personnel shall be reported to the executive director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161—4.15</w:t>
      </w:r>
      <w:r>
        <w:rPr>
          <w:rFonts w:ascii="Times New Roman" w:hAnsi="Times New Roman"/>
          <w:b/>
          <w:i w:val="false"/>
          <w:color w:val="000000"/>
          <w:sz w:val="22"/>
        </w:rPr>
        <w:t xml:space="preserve">(17A) </w:t>
      </w:r>
      <w:r>
        <w:rPr>
          <w:rFonts w:ascii="Times New Roman" w:hAnsi="Times New Roman"/>
          <w:b/>
          <w:i w:val="false"/>
          <w:color w:val="000000"/>
          <w:sz w:val="22"/>
        </w:rPr>
        <w:t xml:space="preserve">Powers of presiding officer. </w:t>
      </w:r>
      <w:r>
        <w:rPr>
          <w:rFonts w:ascii="Times New Roman" w:hAnsi="Times New Roman"/>
          <w:b w:val="false"/>
          <w:i w:val="false"/>
          <w:color w:val="000000"/>
          <w:sz w:val="22"/>
        </w:rPr>
        <w:t>The presiding officer who presides at the hearing shall have all powers necessary to the conduct of a fair and impartial hearing including, but not limited to, the power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Conduct formal hearings in accordance with the provisions of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Administer oaths and examine witnesses;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Compel the production of documents and appearance of witnesses in control of the parties;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Issue subpoenas;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Issue decisions and orders;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Rule on motions, and other procedural items or matters pending before the presiding officer;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Require the submission of briefs;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Receive, rule on, exclude or limit evidence and limit lines of questioning or testimony which are irrelevant, immaterial, or unduly repetitious;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Maintain the decorum of the hearing including the power to refuse to admit or to expel anyone whose conduct is disorderly;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Take any action authorized by these rules;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Impose appropriate sanctions against any party or person failing to obey an order under these rules which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Refusing to allow the disobedient party to support or oppose designated claims or defenses, or prohibiting the party from introducing designated matters in evidence;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Excluding all testimony of an unresponsive or evasive witness, or determining that the answer of such witness, if given, would be unfavorable to the party, if any, having control over the witness;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Expelling any party or person from further participation in the hearing.</w:t>
      </w:r>
    </w:p>
    <w:p>
      <w:pPr>
        <w:spacing w:before="0" w:after="0"/>
        <w:ind w:left="120"/>
        <w:jc w:val="both"/>
      </w:pPr>
      <w:r>
        <w:rPr>
          <w:rFonts w:ascii="Times New Roman" w:hAnsi="Times New Roman"/>
          <w:b/>
          <w:i w:val="false"/>
          <w:color w:val="000000"/>
          <w:sz w:val="22"/>
        </w:rPr>
        <w:t>161—4.16</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Objections. All objections shall be timely made and stated in the record. Any objection not duly made before the presiding officer shall be deemed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Representation of parties. 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val="false"/>
          <w:color w:val="000000"/>
          <w:sz w:val="22"/>
        </w:rPr>
        <w:t>Rights of parties. 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val="false"/>
          <w:color w:val="000000"/>
          <w:sz w:val="22"/>
        </w:rPr>
        <w:t>Sequestration of witnesses. At the request of a party, a presiding officer may order witnesses sequestered so they cannot hear the testimony of other witnesses, and the judge may make the order sua sponte. This rule does not authorize sequestration of (a) a party who is a natural person, or (b) an officer or employee of a party which is not a natural person designated as its representative by its attorney, or (c) a person whose presence is shown by a party to be essential to the presentation of the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an opening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4.16(6)</w:t>
      </w:r>
      <w:r>
        <w:rPr>
          <w:rFonts w:ascii="Times New Roman" w:hAnsi="Times New Roman"/>
          <w:b w:val="false"/>
          <w:i w:val="false"/>
          <w:color w:val="000000"/>
          <w:sz w:val="22"/>
        </w:rPr>
        <w:t> </w:t>
      </w:r>
      <w:r>
        <w:rPr>
          <w:rFonts w:ascii="Times New Roman" w:hAnsi="Times New Roman"/>
          <w:b w:val="false"/>
          <w:i w:val="false"/>
          <w:color w:val="000000"/>
          <w:sz w:val="22"/>
        </w:rPr>
        <w:t>Marking of exhibits. Exhibits entered into evidence which are offered by the commission or the complainant shall be numbered serially, i.e., 1, 2, 3, etc.; whereas those offered by the respondent shall be lettered serially, i.e., A, B, C, ...AA, BB, etc.; and those offered jointly shall be designated by “joint exhibit” and numbered serially.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4.16(7)</w:t>
      </w:r>
      <w:r>
        <w:rPr>
          <w:rFonts w:ascii="Times New Roman" w:hAnsi="Times New Roman"/>
          <w:b w:val="false"/>
          <w:i w:val="false"/>
          <w:color w:val="000000"/>
          <w:sz w:val="22"/>
        </w:rPr>
        <w:t> </w:t>
      </w:r>
      <w:r>
        <w:rPr>
          <w:rFonts w:ascii="Times New Roman" w:hAnsi="Times New Roman"/>
          <w:b w:val="false"/>
          <w:i w:val="false"/>
          <w:color w:val="000000"/>
          <w:sz w:val="22"/>
        </w:rPr>
        <w:t>Contents of record. The record in a contested case before the presiding officer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decision, opinion or report by the officer presiding at the hearing.</w:t>
      </w:r>
    </w:p>
    <w:p>
      <w:pPr>
        <w:spacing w:before="0" w:after="0"/>
        <w:ind w:left="120"/>
        <w:jc w:val="both"/>
      </w:pPr>
      <w:r>
        <w:rPr>
          <w:rFonts w:ascii="Times New Roman" w:hAnsi="Times New Roman"/>
          <w:b w:val="false"/>
          <w:i w:val="false"/>
          <w:color w:val="000000"/>
          <w:sz w:val="22"/>
        </w:rPr>
        <w:t>The term “all other submissions” as used in this rule includes, but is not limited to, all written arguments filed with the presiding officer or the commission plus any attachments to such arguments.</w:t>
      </w:r>
    </w:p>
    <w:p>
      <w:pPr>
        <w:spacing w:before="0" w:after="0"/>
        <w:ind w:left="120"/>
        <w:jc w:val="both"/>
      </w:pPr>
      <w:r>
        <w:rPr>
          <w:rFonts w:ascii="Times New Roman" w:hAnsi="Times New Roman"/>
          <w:b w:val="false"/>
          <w:i w:val="false"/>
          <w:color w:val="000000"/>
          <w:sz w:val="22"/>
        </w:rPr>
        <w:t>Deliberations of the commission when deciding whether to adopt a proposed decision are not part of the record unless expressly made part of the record by order of the commission or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4.16(8)</w:t>
      </w:r>
      <w:r>
        <w:rPr>
          <w:rFonts w:ascii="Times New Roman" w:hAnsi="Times New Roman"/>
          <w:b w:val="false"/>
          <w:i w:val="false"/>
          <w:color w:val="000000"/>
          <w:sz w:val="22"/>
        </w:rPr>
        <w:t> </w:t>
      </w:r>
      <w:r>
        <w:rPr>
          <w:rFonts w:ascii="Times New Roman" w:hAnsi="Times New Roman"/>
          <w:b w:val="false"/>
          <w:i w:val="false"/>
          <w:color w:val="000000"/>
          <w:sz w:val="22"/>
        </w:rPr>
        <w:t>Standards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persons appearing in proceedings before the presiding officer are expected to act with integrity, and in an ethical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from proceedings parties, witnesses, and their representatives for refusal to comply with directions, continued use of dilatory tactics, refusal to adhere to reasonable standards of orderly and ethical conduct, failure to act in good faith, or violation of the prohibition against ex parte communications. The presiding officer shall state in the record the cause for barring an attorney or other individual from participation in a particular proceeding. The presiding officer may suspend the proceeding for a reasonable time for the purpose of enabling a party to obtain another attorney or representative. In accordance with Rule 1.2 of the Committee on Professional Ethics and Conduct of the Iowa State Bar Association, the presiding officer may also file a complaint with the committee if the judge believes that there has been a violation by an attorney of the Iowa Code of Professional Responsibility for Lawyers.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order barring an individual from participation in a proceeding should be made only in exceptional circumstances.</w:t>
      </w:r>
    </w:p>
    <w:p>
      <w:pPr>
        <w:spacing w:before="0" w:after="0"/>
        <w:ind w:left="120"/>
        <w:jc w:val="both"/>
      </w:pPr>
      <w:r>
        <w:rPr>
          <w:rFonts w:ascii="Times New Roman" w:hAnsi="Times New Roman"/>
          <w:b/>
          <w:i w:val="false"/>
          <w:color w:val="000000"/>
          <w:sz w:val="22"/>
        </w:rPr>
        <w:t>161—4.17</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 Stipulated facts are binding on the presiding officer and the commission when it has not been proven that the stipulation was the result of fraud, wrongdoing, misrepresentation, or was not in accord with the intent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by express or implied waiver, or the presiding officer determines that good cause justifies their expansion. If the presiding officer decides to admit evidence on issues outside the scope of notice over the objection of a party who did not have actual notice of those issues, that party, upon timely motion, shall receive a continuance sufficient to amend pleadings and to prepare on the additional issue. The scope of the issues at public hearing may include the facts as uncovered in the investigation and need not be limited to the allegations as stated in the original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ruling until the written decision. Evidentiary objections, other than those based on relevancy, materiality, unduly repetitious evidence, privilege, discovery rules, or scope of examination, or any ground for which a ruling is compulsory as a matter of law, shall be simply noted in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exhibit may submit an offer of proof on the record. The party making the offer of proof for excluded oral testimony shall briefly summarize the testimony or, with permission of the presiding officer, present the testimony. If the excluded evidence consists of a document of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4.17(7)</w:t>
      </w:r>
      <w:r>
        <w:rPr>
          <w:rFonts w:ascii="Times New Roman" w:hAnsi="Times New Roman"/>
          <w:b w:val="false"/>
          <w:i w:val="false"/>
          <w:color w:val="000000"/>
          <w:sz w:val="22"/>
        </w:rPr>
        <w:t> </w:t>
      </w:r>
      <w:r>
        <w:rPr>
          <w:rFonts w:ascii="Times New Roman" w:hAnsi="Times New Roman"/>
          <w:b w:val="false"/>
          <w:i w:val="false"/>
          <w:color w:val="000000"/>
          <w:sz w:val="22"/>
        </w:rPr>
        <w:t>Although the rules of evidence do not apply in a contested case hearing, a finding shall be based upon the kind of evidence on which reasonably prudent persons are accustomed to rely for the conduct of their serious affairs, and may be based upon such evidence even if it would be inadmissible in a jury trial. Irrelevant, immaterial, or unduly repetitious evidence shall be excluded. The commission shall give effect to the rules of privilege recognized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4.17(8)</w:t>
      </w:r>
      <w:r>
        <w:rPr>
          <w:rFonts w:ascii="Times New Roman" w:hAnsi="Times New Roman"/>
          <w:b w:val="false"/>
          <w:i w:val="false"/>
          <w:color w:val="000000"/>
          <w:sz w:val="22"/>
        </w:rPr>
        <w:t> </w:t>
      </w:r>
      <w:r>
        <w:rPr>
          <w:rFonts w:ascii="Times New Roman" w:hAnsi="Times New Roman"/>
          <w:b w:val="false"/>
          <w:i w:val="false"/>
          <w:color w:val="000000"/>
          <w:sz w:val="22"/>
        </w:rPr>
        <w:t>The authenticity of all documents submitted as proposed exhibits at the prehearing conference shall be deemed admitted unless objection is made at the prehearing conference or a written objection to authenticity of a document is filed at least ten days prior to the hearing. A party will be permitted to challenge authenticity at a later time upon a clear showing of good cause for failure to have made the objection earlier. A party’s objection to authenticity is that party’s refusal to admit the fact of authenticity and need not be ruled upon to be effective. If authenticity is not admitted under this rule it may be proved at hearing by any means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4.17(9)</w:t>
      </w:r>
      <w:r>
        <w:rPr>
          <w:rFonts w:ascii="Times New Roman" w:hAnsi="Times New Roman"/>
          <w:b w:val="false"/>
          <w:i w:val="false"/>
          <w:color w:val="000000"/>
          <w:sz w:val="22"/>
        </w:rPr>
        <w:t> </w:t>
      </w:r>
      <w:r>
        <w:rPr>
          <w:rFonts w:ascii="Times New Roman" w:hAnsi="Times New Roman"/>
          <w:b w:val="false"/>
          <w:i w:val="false"/>
          <w:color w:val="000000"/>
          <w:sz w:val="22"/>
        </w:rPr>
        <w:t>No evidence shall be received at any hearing concerning offers or counter-offers of adjustment during efforts to conciliate or settle an alleged unfair or discriminatory practice.</w:t>
      </w:r>
    </w:p>
    <w:p>
      <w:pPr>
        <w:spacing w:before="0" w:after="0"/>
        <w:ind w:left="120"/>
        <w:jc w:val="both"/>
      </w:pPr>
      <w:r>
        <w:rPr>
          <w:rFonts w:ascii="Times New Roman" w:hAnsi="Times New Roman"/>
          <w:b/>
          <w:i w:val="false"/>
          <w:color w:val="000000"/>
          <w:sz w:val="22"/>
        </w:rPr>
        <w:t>161—4.18</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of past sexual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val="false"/>
          <w:color w:val="000000"/>
          <w:sz w:val="22"/>
        </w:rPr>
        <w:t>Discovery regarding past sexual practices. In a contested case alleging conduct which constitutes sexual harassment, a party seeking discovery of information concerning the complainant’s sexual conduct with persons other than the person who committed the alleged act of sexual harassment, must establish specific facts showing good cause for that discovery, and that the information sought is relevant to the subject matter of the action, and reasonably calculated to lead to the discovery of admissible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val="false"/>
          <w:color w:val="000000"/>
          <w:sz w:val="22"/>
        </w:rPr>
        <w:t>Evidence of past sexual practices inadmissible. In a contested case against a respondent who is accused of sexual harassment, or whose agent or employee is accused of sexual harassment, evidence concerning the past sexual behavior of the alleged victim is not admissible.</w:t>
      </w:r>
    </w:p>
    <w:p>
      <w:pPr>
        <w:spacing w:before="210" w:after="0"/>
        <w:ind w:left="120"/>
        <w:jc w:val="both"/>
      </w:pPr>
      <w:r>
        <w:rPr>
          <w:rFonts w:ascii="Times New Roman" w:hAnsi="Times New Roman"/>
          <w:b/>
          <w:i w:val="false"/>
          <w:color w:val="000000"/>
          <w:sz w:val="22"/>
        </w:rPr>
        <w:t>161—4.19</w:t>
      </w:r>
      <w:r>
        <w:rPr>
          <w:rFonts w:ascii="Times New Roman" w:hAnsi="Times New Roman"/>
          <w:b/>
          <w:i w:val="false"/>
          <w:color w:val="000000"/>
          <w:sz w:val="22"/>
        </w:rPr>
        <w:t xml:space="preserve">(17A) </w:t>
      </w:r>
      <w:r>
        <w:rPr>
          <w:rFonts w:ascii="Times New Roman" w:hAnsi="Times New Roman"/>
          <w:b/>
          <w:i w:val="false"/>
          <w:color w:val="000000"/>
          <w:sz w:val="22"/>
        </w:rPr>
        <w:t xml:space="preserve">Cost of copies of record. </w:t>
      </w:r>
      <w:r>
        <w:rPr>
          <w:rFonts w:ascii="Times New Roman" w:hAnsi="Times New Roman"/>
          <w:b w:val="false"/>
          <w:i w:val="false"/>
          <w:color w:val="000000"/>
          <w:sz w:val="22"/>
        </w:rPr>
        <w:t>Upon request the commission shall provide a copy of the whole or any portion of the record at cost. The cost of preparing a copy of the record shall be paid by the requesting party.</w:t>
      </w:r>
    </w:p>
    <w:p>
      <w:pPr>
        <w:spacing w:before="0" w:after="0"/>
        <w:ind w:left="120"/>
        <w:jc w:val="both"/>
      </w:pPr>
      <w:r>
        <w:rPr>
          <w:rFonts w:ascii="Times New Roman" w:hAnsi="Times New Roman"/>
          <w:b/>
          <w:i w:val="false"/>
          <w:color w:val="000000"/>
          <w:sz w:val="22"/>
        </w:rPr>
        <w:t>161—4.20</w:t>
      </w:r>
      <w:r>
        <w:rPr>
          <w:rFonts w:ascii="Times New Roman" w:hAnsi="Times New Roman"/>
          <w:b/>
          <w:i w:val="false"/>
          <w:color w:val="000000"/>
          <w:sz w:val="22"/>
        </w:rPr>
        <w:t xml:space="preserve">(17A) </w:t>
      </w:r>
      <w:r>
        <w:rPr>
          <w:rFonts w:ascii="Times New Roman" w:hAnsi="Times New Roman"/>
          <w:b/>
          <w:i w:val="false"/>
          <w:color w:val="000000"/>
          <w:sz w:val="22"/>
        </w:rPr>
        <w:t xml:space="preserve">Posthearing briefs.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val="false"/>
          <w:color w:val="000000"/>
          <w:sz w:val="22"/>
        </w:rPr>
        <w:t>In general. The presiding officer may fix times for submission of posthearing briefs. Unless otherwise ordered by the presiding officer, such briefs shall be filed simultaneously by all parties and there shall be no page limit nor any other formal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val="false"/>
          <w:color w:val="000000"/>
          <w:sz w:val="22"/>
        </w:rPr>
        <w:t>Reply briefs. If simultaneous briefs are filed then any party may file a reply brief within 10 days after service of the brief to which the reply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4.20(3)</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briefs. Posthearing briefs in addition to those ordered by the presiding officer under </w:t>
      </w:r>
      <w:hyperlink r:id="rId28">
        <w:r>
          <w:rPr>
            <w:rStyle w:val="Hyperlink"/>
            <w:rFonts w:ascii="Times New Roman" w:hAnsi="Times New Roman"/>
            <w:b w:val="false"/>
            <w:i w:val="false"/>
            <w:color w:val="000000"/>
            <w:sz w:val="22"/>
          </w:rPr>
          <w:t>subrule 4.20(1)</w:t>
        </w:r>
      </w:hyperlink>
      <w:r>
        <w:rPr>
          <w:rFonts w:ascii="Times New Roman" w:hAnsi="Times New Roman"/>
          <w:b w:val="false"/>
          <w:i w:val="false"/>
          <w:color w:val="000000"/>
          <w:sz w:val="22"/>
        </w:rPr>
        <w:t xml:space="preserve"> or those allowed by </w:t>
      </w:r>
      <w:hyperlink r:id="rId29">
        <w:r>
          <w:rPr>
            <w:rStyle w:val="Hyperlink"/>
            <w:rFonts w:ascii="Times New Roman" w:hAnsi="Times New Roman"/>
            <w:b w:val="false"/>
            <w:i w:val="false"/>
            <w:color w:val="000000"/>
            <w:sz w:val="22"/>
          </w:rPr>
          <w:t>subrule 4.20(2)</w:t>
        </w:r>
      </w:hyperlink>
      <w:r>
        <w:rPr>
          <w:rFonts w:ascii="Times New Roman" w:hAnsi="Times New Roman"/>
          <w:b w:val="false"/>
          <w:i w:val="false"/>
          <w:color w:val="000000"/>
          <w:sz w:val="22"/>
        </w:rPr>
        <w:t xml:space="preserve"> may be filed only upon application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4.20(4)</w:t>
      </w:r>
      <w:r>
        <w:rPr>
          <w:rFonts w:ascii="Times New Roman" w:hAnsi="Times New Roman"/>
          <w:b w:val="false"/>
          <w:i w:val="false"/>
          <w:color w:val="000000"/>
          <w:sz w:val="22"/>
        </w:rPr>
        <w:t> </w:t>
      </w:r>
      <w:r>
        <w:rPr>
          <w:rFonts w:ascii="Times New Roman" w:hAnsi="Times New Roman"/>
          <w:b w:val="false"/>
          <w:i w:val="false"/>
          <w:color w:val="000000"/>
          <w:sz w:val="22"/>
        </w:rPr>
        <w:t>Extensions. A motion for an extension of the time to file a brief shall be made no later than the day before the brief is due. A motion for an extension to file a brief may be oral and may be granted ex parte where the movant represents either (</w:t>
      </w:r>
      <w:r>
        <w:rPr>
          <w:rFonts w:ascii="Times New Roman" w:hAnsi="Times New Roman"/>
          <w:b w:val="false"/>
          <w:i/>
          <w:color w:val="000000"/>
          <w:sz w:val="22"/>
        </w:rPr>
        <w:t>a</w:t>
      </w:r>
      <w:r>
        <w:rPr>
          <w:rFonts w:ascii="Times New Roman" w:hAnsi="Times New Roman"/>
          <w:b w:val="false"/>
          <w:i w:val="false"/>
          <w:color w:val="000000"/>
          <w:sz w:val="22"/>
        </w:rPr>
        <w:t>) that the other parties who are filing briefs have been notified and that the motion is unopposed or (</w:t>
      </w:r>
      <w:r>
        <w:rPr>
          <w:rFonts w:ascii="Times New Roman" w:hAnsi="Times New Roman"/>
          <w:b w:val="false"/>
          <w:i/>
          <w:color w:val="000000"/>
          <w:sz w:val="22"/>
        </w:rPr>
        <w:t>b</w:t>
      </w:r>
      <w:r>
        <w:rPr>
          <w:rFonts w:ascii="Times New Roman" w:hAnsi="Times New Roman"/>
          <w:b w:val="false"/>
          <w:i w:val="false"/>
          <w:color w:val="000000"/>
          <w:sz w:val="22"/>
        </w:rPr>
        <w:t>) that there is an emergency which justifies such a request. An order granting an extension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4.20(5)</w:t>
      </w:r>
      <w:r>
        <w:rPr>
          <w:rFonts w:ascii="Times New Roman" w:hAnsi="Times New Roman"/>
          <w:b w:val="false"/>
          <w:i w:val="false"/>
          <w:color w:val="000000"/>
          <w:sz w:val="22"/>
        </w:rPr>
        <w:t> </w:t>
      </w:r>
      <w:r>
        <w:rPr>
          <w:rFonts w:ascii="Times New Roman" w:hAnsi="Times New Roman"/>
          <w:b w:val="false"/>
          <w:i w:val="false"/>
          <w:color w:val="000000"/>
          <w:sz w:val="22"/>
        </w:rPr>
        <w:t>Late filing. Upon motion and within the discretion of the presiding officer a brief which is filed late may be struck.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4.20(6)</w:t>
      </w:r>
      <w:r>
        <w:rPr>
          <w:rFonts w:ascii="Times New Roman" w:hAnsi="Times New Roman"/>
          <w:b w:val="false"/>
          <w:i w:val="false"/>
          <w:color w:val="000000"/>
          <w:sz w:val="22"/>
        </w:rPr>
        <w:t> </w:t>
      </w:r>
      <w:r>
        <w:rPr>
          <w:rFonts w:ascii="Times New Roman" w:hAnsi="Times New Roman"/>
          <w:b w:val="false"/>
          <w:i w:val="false"/>
          <w:color w:val="000000"/>
          <w:sz w:val="22"/>
        </w:rPr>
        <w:t>Failure in a party’s briefs to state, to argue, or to cite authority in support of an issue may be deemed waiver of that issue by that party before the presiding officer.</w:t>
      </w:r>
    </w:p>
    <w:p>
      <w:pPr>
        <w:spacing w:before="0" w:after="0"/>
        <w:ind w:left="120"/>
        <w:jc w:val="both"/>
      </w:pPr>
      <w:r>
        <w:rPr>
          <w:rFonts w:ascii="Times New Roman" w:hAnsi="Times New Roman"/>
          <w:b/>
          <w:i w:val="false"/>
          <w:color w:val="000000"/>
          <w:sz w:val="22"/>
        </w:rPr>
        <w:t>161—4.21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to present additional 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A party may request the taking of additional evidence only by establishing that the evidence is material, that good cause existed for failure to present the evidence at the hearing, and that the party has not waived the right to present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color w:val="000000"/>
          <w:sz w:val="22"/>
        </w:rPr>
        <w:t xml:space="preserve">After proposed decision issued. </w:t>
      </w:r>
      <w:r>
        <w:rPr>
          <w:rFonts w:ascii="Times New Roman" w:hAnsi="Times New Roman"/>
          <w:b w:val="false"/>
          <w:i w:val="false"/>
          <w:color w:val="000000"/>
          <w:sz w:val="22"/>
        </w:rPr>
        <w:t>If a request to present additional evidence is made after the issuance of the proposed decision by the presiding officer then the request must be filed with the appeal or, by a nonappealing party, within 14 days after the service of the appeal. If the commission grants the motion to present additional evidence, the commission shall remand the case to the presiding officer for the taking of the additional evidence and any appropriate modification of the proposed order.</w:t>
      </w:r>
    </w:p>
    <w:p>
      <w:pPr>
        <w:spacing w:before="0" w:after="0"/>
        <w:ind w:left="120"/>
        <w:jc w:val="both"/>
      </w:pPr>
      <w:r>
        <w:rPr>
          <w:rFonts w:ascii="Times New Roman" w:hAnsi="Times New Roman"/>
          <w:b/>
          <w:i w:val="false"/>
          <w:color w:val="000000"/>
          <w:sz w:val="22"/>
        </w:rPr>
        <w:t>161—4.22</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 xml:space="preserve">After a review of the transcript, the evidence, and the briefs, the presiding officer shall set forth, in writing, findings of fact, conclusions of law, and a proposed decision and order. The proposed decision becomes the final decision of the commission without further proceedings unless there is an appeal to, or review on motion of, the Iowa civil rights commission within the time provided in rule </w:t>
      </w:r>
      <w:hyperlink r:id="rId30">
        <w:r>
          <w:rPr>
            <w:rStyle w:val="Hyperlink"/>
            <w:rFonts w:ascii="Times New Roman" w:hAnsi="Times New Roman"/>
            <w:b w:val="false"/>
            <w:i w:val="false"/>
            <w:color w:val="000000"/>
            <w:sz w:val="22"/>
          </w:rPr>
          <w:t>161—4.23(17A)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Upon receipt of the presiding officer’s proposed decision, the commission shall forward a copy of the proposed decision to each of the parties by certified mail. A copy shall also be sent to counsel and to each commissioner.</w:t>
      </w:r>
    </w:p>
    <w:p>
      <w:pPr>
        <w:spacing w:before="0" w:after="0"/>
        <w:ind w:left="120"/>
        <w:jc w:val="both"/>
      </w:pPr>
      <w:r>
        <w:rPr>
          <w:rFonts w:ascii="Times New Roman" w:hAnsi="Times New Roman"/>
          <w:b/>
          <w:i w:val="false"/>
          <w:color w:val="000000"/>
          <w:sz w:val="22"/>
        </w:rPr>
        <w:t>161—4.23</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of proposed decision on appeal to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Appeal by party. Any adversely affected party may appeal a proposed decision to the commission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Review. The commission may initiate review of a proposed decision on its own motion at any time within 60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val="false"/>
          <w:color w:val="000000"/>
          <w:sz w:val="22"/>
        </w:rPr>
        <w:t>Notice of appeal. An appeal of a proposed decision is initiated by filing a timely notice of appeal with the Iowa civil rights commission.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val="false"/>
          <w:color w:val="000000"/>
          <w:sz w:val="22"/>
        </w:rPr>
        <w:t>If an appeal or motion for review is filed, the executive director shall set a review date. The parties shall be notified of this date by certified mail. Copies of this notification shall also be sent to counsel and the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is filed with the commission by delivering the notice of appeal to the commission at its offices in Des Moines. All appeals and briefs shall be sent to the executive director of the Iowa civil rights commission in care of the commission at its Des Moines address. An appeal may be filed by any of the methods described in </w:t>
      </w:r>
      <w:hyperlink r:id="rId31">
        <w:r>
          <w:rPr>
            <w:rStyle w:val="Hyperlink"/>
            <w:rFonts w:ascii="Times New Roman" w:hAnsi="Times New Roman"/>
            <w:b w:val="false"/>
            <w:i w:val="false"/>
            <w:color w:val="000000"/>
            <w:sz w:val="22"/>
          </w:rPr>
          <w:t>161—subrules 3.5(1)</w:t>
        </w:r>
      </w:hyperlink>
      <w:r>
        <w:rPr>
          <w:rFonts w:ascii="Times New Roman" w:hAnsi="Times New Roman"/>
          <w:b w:val="false"/>
          <w:i w:val="false"/>
          <w:color w:val="000000"/>
          <w:sz w:val="22"/>
        </w:rPr>
        <w:t xml:space="preserve"> to 3.5(4). Regardless of the method used to file an appeal, the date an appeal is filed is the date it is actually received by the commission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val="false"/>
          <w:color w:val="000000"/>
          <w:sz w:val="22"/>
        </w:rPr>
        <w:t>Oral argument. All parties or their attorneys shall be allowed ten minutes to present oral argument to the commission whenever the commission reviews a proposed decision pursuant to this rule. The commission may, in its discretion, allow oral argument to continue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val="false"/>
          <w:color w:val="000000"/>
          <w:sz w:val="22"/>
        </w:rPr>
        <w:t>Briefs and arguments. 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The commission may shorten or extend the briefing period as appropriate. When filing a brief the party shall file an original and nine copies.</w:t>
      </w:r>
    </w:p>
    <w:p>
      <w:pPr>
        <w:spacing w:before="0" w:after="0"/>
        <w:ind w:left="120"/>
        <w:jc w:val="both"/>
      </w:pPr>
      <w:r>
        <w:rPr>
          <w:rFonts w:ascii="Times New Roman" w:hAnsi="Times New Roman"/>
          <w:b/>
          <w:i w:val="false"/>
          <w:color w:val="000000"/>
          <w:sz w:val="22"/>
        </w:rPr>
        <w:t>161—4.24</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of review by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Whenever the commission reviews a proposed decision, it has all the power it would have in initially making the final decision. The commission may adopt, modify or reject the presiding officer’s proposed decision or it may remand the case to the presiding officer for the taking of additional evidence and the making of any further proposed findings of fact, conclusions of law, or decision and order the commission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Limitation of issues. </w:t>
      </w:r>
      <w:r>
        <w:rPr>
          <w:rFonts w:ascii="Times New Roman" w:hAnsi="Times New Roman"/>
          <w:b w:val="false"/>
          <w:i w:val="false"/>
          <w:color w:val="000000"/>
          <w:sz w:val="22"/>
        </w:rPr>
        <w:t>Whenever the commission reviews a proposed decision it shall consider only those issues actually presented to the presiding officer unless the issue was one which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 raised prior to the proposed decision by a party, but not ruled upon,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discussed in the proposed decision, but not argued on brief by the parties.</w:t>
      </w:r>
    </w:p>
    <w:p>
      <w:pPr>
        <w:spacing w:before="0" w:after="0"/>
        <w:ind w:left="120"/>
        <w:jc w:val="both"/>
      </w:pPr>
      <w:r>
        <w:rPr>
          <w:rFonts w:ascii="Times New Roman" w:hAnsi="Times New Roman"/>
          <w:b w:val="false"/>
          <w:i w:val="false"/>
          <w:color w:val="000000"/>
          <w:sz w:val="22"/>
        </w:rPr>
        <w:t xml:space="preserve">This rule does not affect a party’s right to seek disqualification of a commissioner under rule </w:t>
      </w:r>
      <w:hyperlink r:id="rId32">
        <w:r>
          <w:rPr>
            <w:rStyle w:val="Hyperlink"/>
            <w:rFonts w:ascii="Times New Roman" w:hAnsi="Times New Roman"/>
            <w:b w:val="false"/>
            <w:i w:val="false"/>
            <w:color w:val="000000"/>
            <w:sz w:val="22"/>
          </w:rPr>
          <w:t>161—4.13(17A)</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161—4.14(17A)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161—4.25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shall weigh the extent to which its granting the interlocutory appeal would expedite final resolution of the case and the extent to which review of that interlocutory order by the agency at the time it reviews the proposed decision of the presiding officer would provide an adequate remedy. Any request or motion for interlocutory review must be filed within seven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161—4.26</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w:t>
      </w:r>
      <w:r>
        <w:rPr>
          <w:rFonts w:ascii="Times New Roman" w:hAnsi="Times New Roman"/>
          <w:b w:val="false"/>
          <w:i/>
          <w:color w:val="000000"/>
          <w:sz w:val="22"/>
        </w:rPr>
        <w:t>a</w:t>
      </w:r>
      <w:r>
        <w:rPr>
          <w:rFonts w:ascii="Times New Roman" w:hAnsi="Times New Roman"/>
          <w:b w:val="false"/>
          <w:i w:val="false"/>
          <w:color w:val="000000"/>
          <w:sz w:val="22"/>
        </w:rPr>
        <w:t>) intervention would not unduly prolong the proceedings or otherwise prejudice the rights of existing parties; (</w:t>
      </w:r>
      <w:r>
        <w:rPr>
          <w:rFonts w:ascii="Times New Roman" w:hAnsi="Times New Roman"/>
          <w:b w:val="false"/>
          <w:i/>
          <w:color w:val="000000"/>
          <w:sz w:val="22"/>
        </w:rPr>
        <w:t>b</w:t>
      </w:r>
      <w:r>
        <w:rPr>
          <w:rFonts w:ascii="Times New Roman" w:hAnsi="Times New Roman"/>
          <w:b w:val="false"/>
          <w:i w:val="false"/>
          <w:color w:val="000000"/>
          <w:sz w:val="22"/>
        </w:rPr>
        <w:t>) the movant is likely to be aggrieved or adversely affected by a final order in the proceeding; and (</w:t>
      </w:r>
      <w:r>
        <w:rPr>
          <w:rFonts w:ascii="Times New Roman" w:hAnsi="Times New Roman"/>
          <w:b w:val="false"/>
          <w:i/>
          <w:color w:val="000000"/>
          <w:sz w:val="22"/>
        </w:rPr>
        <w:t>c</w:t>
      </w:r>
      <w:r>
        <w:rPr>
          <w:rFonts w:ascii="Times New Roman" w:hAnsi="Times New Roman"/>
          <w:b w:val="false"/>
          <w:i w:val="false"/>
          <w:color w:val="000000"/>
          <w:sz w:val="22"/>
        </w:rPr>
        <w:t>)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210" w:after="0"/>
        <w:ind w:left="120"/>
        <w:jc w:val="both"/>
      </w:pPr>
      <w:r>
        <w:rPr>
          <w:rFonts w:ascii="Times New Roman" w:hAnsi="Times New Roman"/>
          <w:b/>
          <w:i w:val="false"/>
          <w:color w:val="000000"/>
          <w:sz w:val="22"/>
        </w:rPr>
        <w:t>161—4.27</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161—4.28</w:t>
      </w:r>
      <w:r>
        <w:rPr>
          <w:rFonts w:ascii="Times New Roman" w:hAnsi="Times New Roman"/>
          <w:b/>
          <w:i w:val="false"/>
          <w:color w:val="000000"/>
          <w:sz w:val="22"/>
        </w:rPr>
        <w:t xml:space="preserve">(17A) </w:t>
      </w:r>
      <w:r>
        <w:rPr>
          <w:rFonts w:ascii="Times New Roman" w:hAnsi="Times New Roman"/>
          <w:b/>
          <w:i w:val="false"/>
          <w:color w:val="000000"/>
          <w:sz w:val="22"/>
        </w:rPr>
        <w:t xml:space="preserve">Awards of attorney’s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Retention of jurisdiction. </w:t>
      </w:r>
      <w:r>
        <w:rPr>
          <w:rFonts w:ascii="Times New Roman" w:hAnsi="Times New Roman"/>
          <w:b w:val="false"/>
          <w:i w:val="false"/>
          <w:color w:val="000000"/>
          <w:sz w:val="22"/>
        </w:rPr>
        <w:t>In any final decision in which it is determined that the complainant is entitled to an award of attorney’s fees, but the actual amount has not yet been determined, there is, by operation of this rule, an express retention of jurisdiction of the case by the commission in order to determine the actual amount of attorney’s fees to which the party is entitled and to enter a subsequent order awarding those fees. The commission shall take this action regardless of whether or not such retention of jurisdiction is expressed in the final decision. In such case, the decision is final in all other respects except the determination of the amount of the 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Stipulation. </w:t>
      </w:r>
      <w:r>
        <w:rPr>
          <w:rFonts w:ascii="Times New Roman" w:hAnsi="Times New Roman"/>
          <w:b w:val="false"/>
          <w:i w:val="false"/>
          <w:color w:val="000000"/>
          <w:sz w:val="22"/>
        </w:rPr>
        <w:t>A final decision, in which it is determined that the complainant is entitled to an award of attorney’s fees, may provide for an opportunity for the parties to file a written stipulation concerning the amount of the fees to be awarded. Any such stipulation entered into by the complainant(s) and respondent(s) is binding on the commission in the absence of evidence of fraud, wrongdoing, misrepresentation, or evidence that the stipulation is not in accord with the intent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If the amount of attorney’s fees is not stipulated to by the parties, the presiding officer shall schedule a hearing on the issue of the amount of the attorney’s fees. The hearing shall be governed by the same procedures as a hearing on the merits of a complaint except where otherwise ordered by the presiding officer. The parties may elect, by written stipulation, to utilize some method, such as stipulation of facts or submission of a documentary record, other than or complementary to a hearing, in order to make a record on attorney’s fees which may then be reviewed by the presiding officer. By operation of this rule, the commission expresses its consent to such stipulations if agreed to by the parties seeking and contesting attorney’s fees. The record of the original hearing is part of the record on the attorney’s fee issue. Regardless of the method by which the record is made, the complainant has the burden of persuasion in proving attorney’s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8737B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161—4.29</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modification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color w:val="000000"/>
          <w:sz w:val="22"/>
        </w:rPr>
        <w:t xml:space="preserve">By presiding officer. </w:t>
      </w:r>
      <w:r>
        <w:rPr>
          <w:rFonts w:ascii="Times New Roman" w:hAnsi="Times New Roman"/>
          <w:b w:val="false"/>
          <w:i w:val="false"/>
          <w:color w:val="000000"/>
          <w:sz w:val="22"/>
        </w:rPr>
        <w:t>Upon notice to all parties, the presiding officer may, with respect to matters pending before the presiding officer, modify or waive any rule herein upon a determination that no party will be prejudiced and that the ends of justice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color w:val="000000"/>
          <w:sz w:val="22"/>
        </w:rPr>
        <w:t xml:space="preserve">By parties. </w:t>
      </w:r>
      <w:r>
        <w:rPr>
          <w:rFonts w:ascii="Times New Roman" w:hAnsi="Times New Roman"/>
          <w:b w:val="false"/>
          <w:i w:val="false"/>
          <w:color w:val="000000"/>
          <w:sz w:val="22"/>
        </w:rPr>
        <w:t>Unless otherwise precluded by law, the parties in a contested case proceeding may waive any provision of this chapter. However, the presiding officer, in the discretion of the presiding officer, may refuse to give effect to such a waiver when the presiding officer deems the waiver to be inconsistent with the public interest.</w:t>
      </w:r>
    </w:p>
    <w:p>
      <w:pPr>
        <w:spacing w:before="0" w:after="0"/>
        <w:ind w:left="120"/>
        <w:jc w:val="both"/>
      </w:pPr>
      <w:r>
        <w:rPr>
          <w:rFonts w:ascii="Times New Roman" w:hAnsi="Times New Roman"/>
          <w:b/>
          <w:i w:val="false"/>
          <w:color w:val="000000"/>
          <w:sz w:val="22"/>
        </w:rPr>
        <w:t>161—4.30</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rule </w:t>
      </w:r>
      <w:hyperlink r:id="rId34">
        <w:r>
          <w:rPr>
            <w:rStyle w:val="Hyperlink"/>
            <w:rFonts w:ascii="Times New Roman" w:hAnsi="Times New Roman"/>
            <w:b w:val="false"/>
            <w:i w:val="false"/>
            <w:color w:val="000000"/>
            <w:sz w:val="22"/>
          </w:rPr>
          <w:t>161—4.21(17A)</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commission at its offices in Des Moines within 20 days after the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commission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ind w:left="120"/>
        <w:jc w:val="both"/>
      </w:pPr>
      <w:r>
        <w:rPr>
          <w:rFonts w:ascii="Times New Roman" w:hAnsi="Times New Roman"/>
          <w:b/>
          <w:i w:val="false"/>
          <w:color w:val="000000"/>
          <w:sz w:val="22"/>
        </w:rPr>
        <w:t>161—4.31</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Hearing—other reasons. </w:t>
      </w:r>
      <w:r>
        <w:rPr>
          <w:rFonts w:ascii="Times New Roman" w:hAnsi="Times New Roman"/>
          <w:b w:val="false"/>
          <w:i w:val="false"/>
          <w:color w:val="000000"/>
          <w:sz w:val="22"/>
        </w:rPr>
        <w:t>At any other time, the commission, executive director, or designee may, at its discretion, convene a hearing: whenever a problem of discrimination arises; in order to expedite the disposition of preliminary matters in any action before it; or when in the judgment of the commission, executive director, or designee, the circumstances warrant.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8737B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161—4.32</w:t>
      </w:r>
      <w:r>
        <w:rPr>
          <w:rFonts w:ascii="Times New Roman" w:hAnsi="Times New Roman"/>
          <w:b/>
          <w:i w:val="false"/>
          <w:color w:val="000000"/>
          <w:sz w:val="22"/>
        </w:rPr>
        <w:t xml:space="preserve">(216) </w:t>
      </w:r>
      <w:r>
        <w:rPr>
          <w:rFonts w:ascii="Times New Roman" w:hAnsi="Times New Roman"/>
          <w:b/>
          <w:i w:val="false"/>
          <w:color w:val="000000"/>
          <w:sz w:val="22"/>
        </w:rPr>
        <w:t xml:space="preserve">Assessment of costs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color w:val="000000"/>
          <w:sz w:val="22"/>
        </w:rPr>
        <w:t xml:space="preserve"> General rule. </w:t>
      </w:r>
      <w:r>
        <w:rPr>
          <w:rFonts w:ascii="Times New Roman" w:hAnsi="Times New Roman"/>
          <w:b w:val="false"/>
          <w:i w:val="false"/>
          <w:color w:val="000000"/>
          <w:sz w:val="22"/>
        </w:rPr>
        <w:t>If the complainant or the commission prevails in the hearing, the respondent shall pay the “contested case costs” incurred by the commission. If the respondent prevails in the hearing, the commission shall itself bear the “contested case costs” incurred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color w:val="000000"/>
          <w:sz w:val="22"/>
        </w:rPr>
        <w:t xml:space="preserve"> Mixed results. </w:t>
      </w:r>
      <w:r>
        <w:rPr>
          <w:rFonts w:ascii="Times New Roman" w:hAnsi="Times New Roman"/>
          <w:b w:val="false"/>
          <w:i w:val="false"/>
          <w:color w:val="000000"/>
          <w:sz w:val="22"/>
        </w:rPr>
        <w:t>Where the complainant or commission is successful as to part of the remedies sought at the hearing and unsuccessful as to part of the remedies, the administrative law judge may recommend an equitable apportionment of “contested case costs” between the commission and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color w:val="000000"/>
          <w:sz w:val="22"/>
        </w:rPr>
        <w:t xml:space="preserve"> Costs allowable. </w:t>
      </w:r>
      <w:r>
        <w:rPr>
          <w:rFonts w:ascii="Times New Roman" w:hAnsi="Times New Roman"/>
          <w:b w:val="false"/>
          <w:i w:val="false"/>
          <w:color w:val="000000"/>
          <w:sz w:val="22"/>
        </w:rPr>
        <w:t xml:space="preserve">The following “contested case costs” and no others will be assessed or apportioned as provided in </w:t>
      </w:r>
      <w:hyperlink r:id="rId35">
        <w:r>
          <w:rPr>
            <w:rStyle w:val="Hyperlink"/>
            <w:rFonts w:ascii="Times New Roman" w:hAnsi="Times New Roman"/>
            <w:b w:val="false"/>
            <w:i w:val="false"/>
            <w:color w:val="000000"/>
            <w:sz w:val="22"/>
          </w:rPr>
          <w:t>subrule 4.32(1)</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4.32(2)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daily charge of the court reporter for attending and transcribing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mileage charges of the court reporter for traveling to and from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travel time charges of the court reporter for traveling to and from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of the original of the transcripts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Postage incurred by the administrative law judge in sending by mail (regular or certified) any papers which are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color w:val="000000"/>
          <w:sz w:val="22"/>
        </w:rPr>
        <w:t xml:space="preserve"> Remedial orders. </w:t>
      </w:r>
      <w:r>
        <w:rPr>
          <w:rFonts w:ascii="Times New Roman" w:hAnsi="Times New Roman"/>
          <w:b w:val="false"/>
          <w:i w:val="false"/>
          <w:color w:val="000000"/>
          <w:sz w:val="22"/>
        </w:rPr>
        <w:t xml:space="preserve">This rule does not affect those costs which may be recoverable under Iowa Code section </w:t>
      </w:r>
      <w:hyperlink r:id="rId37">
        <w:r>
          <w:rPr>
            <w:rStyle w:val="Hyperlink"/>
            <w:rFonts w:ascii="Times New Roman" w:hAnsi="Times New Roman"/>
            <w:b w:val="false"/>
            <w:i w:val="false"/>
            <w:color w:val="000000"/>
            <w:sz w:val="22"/>
          </w:rPr>
          <w:t>216.15(8)</w:t>
        </w:r>
      </w:hyperlink>
      <w:r>
        <w:rPr>
          <w:rFonts w:ascii="Times New Roman" w:hAnsi="Times New Roman"/>
          <w:b w:val="false"/>
          <w:i/>
          <w:color w:val="000000"/>
          <w:sz w:val="22"/>
        </w:rPr>
        <w:t>“a”</w:t>
      </w:r>
      <w:r>
        <w:rPr>
          <w:rFonts w:ascii="Times New Roman" w:hAnsi="Times New Roman"/>
          <w:b w:val="false"/>
          <w:i w:val="false"/>
          <w:color w:val="000000"/>
          <w:sz w:val="22"/>
        </w:rPr>
        <w:t>(8).</w:t>
      </w:r>
    </w:p>
    <w:p>
      <w:pPr>
        <w:spacing w:before="210" w:after="0"/>
        <w:ind w:left="120"/>
        <w:jc w:val="both"/>
      </w:pPr>
      <w:r>
        <w:rPr>
          <w:rFonts w:ascii="Times New Roman" w:hAnsi="Times New Roman"/>
          <w:b/>
          <w:i w:val="false"/>
          <w:color w:val="000000"/>
          <w:sz w:val="22"/>
        </w:rPr>
        <w:t>161—4.33</w:t>
      </w:r>
      <w:r>
        <w:rPr>
          <w:rFonts w:ascii="Times New Roman" w:hAnsi="Times New Roman"/>
          <w:b/>
          <w:i w:val="false"/>
          <w:color w:val="000000"/>
          <w:sz w:val="22"/>
        </w:rPr>
        <w:t xml:space="preserve">(216) </w:t>
      </w:r>
      <w:r>
        <w:rPr>
          <w:rFonts w:ascii="Times New Roman" w:hAnsi="Times New Roman"/>
          <w:b/>
          <w:i w:val="false"/>
          <w:color w:val="000000"/>
          <w:sz w:val="22"/>
        </w:rPr>
        <w:t xml:space="preserve">Appeals to the district court. </w:t>
      </w:r>
      <w:r>
        <w:rPr>
          <w:rFonts w:ascii="Times New Roman" w:hAnsi="Times New Roman"/>
          <w:b w:val="false"/>
          <w:i w:val="false"/>
          <w:color w:val="000000"/>
          <w:sz w:val="22"/>
        </w:rPr>
        <w:t xml:space="preserve">Appeals to the district courts from the decision of the commission shall be perfected pursuant to the provisions of Iowa Code section </w:t>
      </w:r>
      <w:hyperlink r:id="rId38">
        <w:r>
          <w:rPr>
            <w:rStyle w:val="Hyperlink"/>
            <w:rFonts w:ascii="Times New Roman" w:hAnsi="Times New Roman"/>
            <w:b w:val="false"/>
            <w:i w:val="false"/>
            <w:color w:val="000000"/>
            <w:sz w:val="22"/>
          </w:rPr>
          <w:t>216.17</w:t>
        </w:r>
      </w:hyperlink>
      <w:r>
        <w:rPr>
          <w:rFonts w:ascii="Times New Roman" w:hAnsi="Times New Roman"/>
          <w:b w:val="false"/>
          <w:i w:val="false"/>
          <w:color w:val="000000"/>
          <w:sz w:val="22"/>
        </w:rPr>
        <w:t xml:space="preserve"> and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chapter </w:t>
      </w:r>
      <w:hyperlink r:id="rId41">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4/20/72; amended 7/9/74, 10/7/74, 3/14/75]</w:t>
      </w:r>
    </w:p>
    <w:p>
      <w:pPr>
        <w:spacing w:before="0" w:after="0"/>
        <w:ind w:left="120"/>
        <w:jc w:val="center"/>
      </w:pPr>
      <w:r>
        <w:rPr>
          <w:rFonts w:ascii="Times New Roman" w:hAnsi="Times New Roman"/>
          <w:b w:val="false"/>
          <w:i w:val="false"/>
          <w:color w:val="000000"/>
          <w:sz w:val="21"/>
        </w:rPr>
        <w:t>[Filed 2/20/78, Notice 12/14/77, 1/11/78—published 3/22/78, effective 4/26/78]</w:t>
      </w:r>
    </w:p>
    <w:p>
      <w:pPr>
        <w:spacing w:before="0" w:after="0"/>
        <w:ind w:left="120"/>
        <w:jc w:val="center"/>
      </w:pPr>
      <w:r>
        <w:rPr>
          <w:rFonts w:ascii="Times New Roman" w:hAnsi="Times New Roman"/>
          <w:b w:val="false"/>
          <w:i w:val="false"/>
          <w:color w:val="000000"/>
          <w:sz w:val="21"/>
        </w:rPr>
        <w:t>[Filed emergency 6/16/78—published 7/12/78, effective 6/16/78]</w:t>
      </w:r>
    </w:p>
    <w:p>
      <w:pPr>
        <w:spacing w:before="0" w:after="0"/>
        <w:ind w:left="120"/>
        <w:jc w:val="center"/>
      </w:pPr>
      <w:r>
        <w:rPr>
          <w:rFonts w:ascii="Times New Roman" w:hAnsi="Times New Roman"/>
          <w:b w:val="false"/>
          <w:i w:val="false"/>
          <w:color w:val="000000"/>
          <w:sz w:val="21"/>
        </w:rPr>
        <w:t>[Filed emergency 11/20/78—published 12/13/78, effective 1/1/79]</w:t>
      </w:r>
    </w:p>
    <w:p>
      <w:pPr>
        <w:spacing w:before="0" w:after="0"/>
        <w:ind w:left="120"/>
        <w:jc w:val="center"/>
      </w:pPr>
      <w:r>
        <w:rPr>
          <w:rFonts w:ascii="Times New Roman" w:hAnsi="Times New Roman"/>
          <w:b w:val="false"/>
          <w:i w:val="false"/>
          <w:color w:val="000000"/>
          <w:sz w:val="21"/>
        </w:rPr>
        <w:t>[Filed 3/28/79, Notices 12/13/78, 1/10/79—published 4/18/79, effective 5/23/79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11/19/79—published 12/12/79, effective 11/19/79]</w:t>
      </w:r>
    </w:p>
    <w:p>
      <w:pPr>
        <w:spacing w:before="0" w:after="0"/>
        <w:ind w:left="120"/>
        <w:jc w:val="center"/>
      </w:pPr>
      <w:r>
        <w:rPr>
          <w:rFonts w:ascii="Times New Roman" w:hAnsi="Times New Roman"/>
          <w:b w:val="false"/>
          <w:i w:val="false"/>
          <w:color w:val="000000"/>
          <w:sz w:val="21"/>
        </w:rPr>
        <w:t>[Filed 4/4/80, Notice 9/5/79—published 4/30/80, effective 6/4/80]</w:t>
      </w:r>
    </w:p>
    <w:p>
      <w:pPr>
        <w:spacing w:before="0" w:after="0"/>
        <w:ind w:left="120"/>
        <w:jc w:val="center"/>
      </w:pPr>
      <w:r>
        <w:rPr>
          <w:rFonts w:ascii="Times New Roman" w:hAnsi="Times New Roman"/>
          <w:b w:val="false"/>
          <w:i w:val="false"/>
          <w:color w:val="000000"/>
          <w:sz w:val="21"/>
        </w:rPr>
        <w:t>[Filed 7/30/80, Notice 12/12/79—published 8/20/80, effective 9/26/80]</w:t>
      </w:r>
    </w:p>
    <w:p>
      <w:pPr>
        <w:spacing w:before="0" w:after="0"/>
        <w:ind w:left="120"/>
        <w:jc w:val="center"/>
      </w:pPr>
      <w:r>
        <w:rPr>
          <w:rFonts w:ascii="Times New Roman" w:hAnsi="Times New Roman"/>
          <w:b w:val="false"/>
          <w:i w:val="false"/>
          <w:color w:val="000000"/>
          <w:sz w:val="21"/>
        </w:rPr>
        <w:t>[Filed 12/5/80, Notice 8/20/80—published 12/24/80, effective 1/31/81]</w:t>
      </w:r>
    </w:p>
    <w:p>
      <w:pPr>
        <w:spacing w:before="0" w:after="0"/>
        <w:ind w:left="120"/>
        <w:jc w:val="center"/>
      </w:pPr>
      <w:r>
        <w:rPr>
          <w:rFonts w:ascii="Times New Roman" w:hAnsi="Times New Roman"/>
          <w:b w:val="false"/>
          <w:i w:val="false"/>
          <w:color w:val="000000"/>
          <w:sz w:val="21"/>
        </w:rPr>
        <w:t>[Filed 4/9/81, Notice 1/7/81—published 4/29/81, effective 6/3/81]</w:t>
      </w:r>
    </w:p>
    <w:p>
      <w:pPr>
        <w:spacing w:before="0" w:after="0"/>
        <w:ind w:left="120"/>
        <w:jc w:val="center"/>
      </w:pPr>
      <w:r>
        <w:rPr>
          <w:rFonts w:ascii="Times New Roman" w:hAnsi="Times New Roman"/>
          <w:b w:val="false"/>
          <w:i w:val="false"/>
          <w:color w:val="000000"/>
          <w:sz w:val="21"/>
        </w:rPr>
        <w:t>[Filed 1/31/83, Notice 11/24/82—published 2/16/83, effective 3/28/83]</w:t>
      </w:r>
    </w:p>
    <w:p>
      <w:pPr>
        <w:spacing w:before="0" w:after="0"/>
        <w:ind w:left="120"/>
        <w:jc w:val="center"/>
      </w:pPr>
      <w:r>
        <w:rPr>
          <w:rFonts w:ascii="Times New Roman" w:hAnsi="Times New Roman"/>
          <w:b w:val="false"/>
          <w:i w:val="false"/>
          <w:color w:val="000000"/>
          <w:sz w:val="21"/>
        </w:rPr>
        <w:t>[Filed 9/25/85, Notice 7/31/85—published 10/23/85, effective 11/27/85]</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emergency 10/23/91—published 11/13/91, effective 10/23/91]</w:t>
      </w:r>
    </w:p>
    <w:p>
      <w:pPr>
        <w:spacing w:before="0" w:after="0"/>
        <w:ind w:left="120"/>
        <w:jc w:val="center"/>
      </w:pPr>
      <w:r>
        <w:rPr>
          <w:rFonts w:ascii="Times New Roman" w:hAnsi="Times New Roman"/>
          <w:b w:val="false"/>
          <w:i w:val="false"/>
          <w:color w:val="000000"/>
          <w:sz w:val="21"/>
        </w:rPr>
        <w:t>[Filed emergency 12/10/91—published 1/8/92, effective 12/10/91]</w:t>
      </w:r>
    </w:p>
    <w:p>
      <w:pPr>
        <w:spacing w:before="0" w:after="0"/>
        <w:ind w:left="120"/>
        <w:jc w:val="center"/>
      </w:pPr>
      <w:r>
        <w:rPr>
          <w:rFonts w:ascii="Times New Roman" w:hAnsi="Times New Roman"/>
          <w:b w:val="false"/>
          <w:i w:val="false"/>
          <w:color w:val="000000"/>
          <w:sz w:val="21"/>
        </w:rPr>
        <w:t>[Filed 1/31/92, Notice 11/13/91—published 2/19/92, effective 3/25/92]</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ARC 8737B</w:t>
      </w:r>
      <w:r>
        <w:rPr>
          <w:rFonts w:ascii="Times New Roman" w:hAnsi="Times New Roman"/>
          <w:b w:val="false"/>
          <w:i w:val="false"/>
          <w:color w:val="000000"/>
          <w:sz w:val="21"/>
        </w:rPr>
        <w:t xml:space="preserve"> (Notice ARC 8564B, IAB 3/10/10)</w:t>
      </w:r>
      <w:r>
        <w:rPr>
          <w:rFonts w:ascii="Times New Roman" w:hAnsi="Times New Roman"/>
          <w:b w:val="false"/>
          <w:i w:val="false"/>
          <w:color w:val="000000"/>
          <w:sz w:val="21"/>
        </w:rPr>
        <w:t>, IAB 5/5/10, effective 6/9/10]</w:t>
      </w:r>
    </w:p>
    <w:p>
      <w:pPr>
        <w:pBdr>
          <w:bottom w:space="2"/>
        </w:pBdr>
        <w:spacing w:before="0" w:after="0"/>
        <w:ind w:left="120"/>
        <w:jc w:val="both"/>
      </w:pPr>
      <w:r>
        <w:rPr>
          <w:rFonts w:ascii="Times New Roman" w:hAnsi="Times New Roman"/>
          <w:b w:val="false"/>
          <w:i w:val="false"/>
          <w:color w:val="000000"/>
          <w:sz w:val="22"/>
        </w:rPr>
        <w:t>The Administrative Rules Review Committee at its May 21, 1979, meeting delayed the effective date of 240—subrules 1.1(7) to 1.1(9), 1.3(1), 1.8(2) and rules 1.16 and 1.17 70 days.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1.pdf" Type="http://schemas.openxmlformats.org/officeDocument/2006/relationships/hyperlink" Id="rId5"/>
    <Relationship TargetMode="External" Target="https://www.legis.iowa.gov/docs/iac/rule/161.4.2.pdf" Type="http://schemas.openxmlformats.org/officeDocument/2006/relationships/hyperlink" Id="rId6"/>
    <Relationship TargetMode="External" Target="https://www.legis.iowa.gov/docs/iac/rule/161.4.13.pdf" Type="http://schemas.openxmlformats.org/officeDocument/2006/relationships/hyperlink" Id="rId7"/>
    <Relationship TargetMode="External" Target="https://www.legis.iowa.gov/docs/iac/rule/161.4.14.pdf" Type="http://schemas.openxmlformats.org/officeDocument/2006/relationships/hyperlink" Id="rId8"/>
    <Relationship TargetMode="External" Target="https://www.legis.iowa.gov/docs/iac/rule/161.4.23.pdf" Type="http://schemas.openxmlformats.org/officeDocument/2006/relationships/hyperlink" Id="rId9"/>
    <Relationship TargetMode="External" Target="https://www.legis.iowa.gov/docs/iac/rule/161.4.25.pdf" Type="http://schemas.openxmlformats.org/officeDocument/2006/relationships/hyperlink" Id="rId10"/>
    <Relationship TargetMode="External" Target="https://www.legis.iowa.gov/docs/ico/chapter/17A.16.pdf" Type="http://schemas.openxmlformats.org/officeDocument/2006/relationships/hyperlink" Id="rId11"/>
    <Relationship TargetMode="External" Target="https://www.legis.iowa.gov/docs/iac/rule/481.10.12.pdf" Type="http://schemas.openxmlformats.org/officeDocument/2006/relationships/hyperlink" Id="rId12"/>
    <Relationship TargetMode="External" Target="https://www.legis.iowa.gov/docs/iac/rule/481.10.12.pdf" Type="http://schemas.openxmlformats.org/officeDocument/2006/relationships/hyperlink" Id="rId13"/>
    <Relationship TargetMode="External" Target="https://www.legis.iowa.gov/docs/iac/rule/481.10.12.pdf" Type="http://schemas.openxmlformats.org/officeDocument/2006/relationships/hyperlink" Id="rId14"/>
    <Relationship TargetMode="External" Target="https://www.legis.iowa.gov/docs/iac/rule/161.4.7.pdf" Type="http://schemas.openxmlformats.org/officeDocument/2006/relationships/hyperlink" Id="rId15"/>
    <Relationship TargetMode="External" Target="https://www.legis.iowa.gov/docs/ico/chapter/17A.13.pdf" Type="http://schemas.openxmlformats.org/officeDocument/2006/relationships/hyperlink" Id="rId16"/>
    <Relationship TargetMode="External" Target="https://www.legis.iowa.gov/docs/iac/rule/161.4.30.pdf" Type="http://schemas.openxmlformats.org/officeDocument/2006/relationships/hyperlink" Id="rId17"/>
    <Relationship TargetMode="External" Target="https://www.legis.iowa.gov/docs/iac/rule/161.4.23.pdf" Type="http://schemas.openxmlformats.org/officeDocument/2006/relationships/hyperlink" Id="rId18"/>
    <Relationship TargetMode="External" Target="https://www.legis.iowa.gov/docs/iac/rule/161.4.13.pdf" Type="http://schemas.openxmlformats.org/officeDocument/2006/relationships/hyperlink" Id="rId19"/>
    <Relationship TargetMode="External" Target="https://www.legis.iowa.gov/docs/iac/rule/161.4.14.pdf" Type="http://schemas.openxmlformats.org/officeDocument/2006/relationships/hyperlink" Id="rId20"/>
    <Relationship TargetMode="External" Target="https://www.legis.iowa.gov/docs/iac/rule/161.4.13.pdf" Type="http://schemas.openxmlformats.org/officeDocument/2006/relationships/hyperlink" Id="rId21"/>
    <Relationship TargetMode="External" Target="https://www.legis.iowa.gov/docs/iac/rule/161.4.25.pdf" Type="http://schemas.openxmlformats.org/officeDocument/2006/relationships/hyperlink" Id="rId22"/>
    <Relationship TargetMode="External" Target="https://www.legis.iowa.gov/docs/iac/rule/161.4.13.pdf" Type="http://schemas.openxmlformats.org/officeDocument/2006/relationships/hyperlink" Id="rId23"/>
    <Relationship TargetMode="External" Target="https://www.legis.iowa.gov/docs/iac/rule/161.4.13.pdf" Type="http://schemas.openxmlformats.org/officeDocument/2006/relationships/hyperlink" Id="rId24"/>
    <Relationship TargetMode="External" Target="https://www.legis.iowa.gov/docs/iac/rule/161.4.6.pdf" Type="http://schemas.openxmlformats.org/officeDocument/2006/relationships/hyperlink" Id="rId25"/>
    <Relationship TargetMode="External" Target="https://www.legis.iowa.gov/docs/iac/rule/161.4.11.pdf" Type="http://schemas.openxmlformats.org/officeDocument/2006/relationships/hyperlink" Id="rId26"/>
    <Relationship TargetMode="External" Target="https://www.legis.iowa.gov/docs/ico/chapter/17A.13.pdf" Type="http://schemas.openxmlformats.org/officeDocument/2006/relationships/hyperlink" Id="rId27"/>
    <Relationship TargetMode="External" Target="https://www.legis.iowa.gov/docs/iac/rule/161.4.20.pdf" Type="http://schemas.openxmlformats.org/officeDocument/2006/relationships/hyperlink" Id="rId28"/>
    <Relationship TargetMode="External" Target="https://www.legis.iowa.gov/docs/iac/rule/161.4.20.pdf" Type="http://schemas.openxmlformats.org/officeDocument/2006/relationships/hyperlink" Id="rId29"/>
    <Relationship TargetMode="External" Target="https://www.legis.iowa.gov/docs/iac/rule/161.4.23.pdf" Type="http://schemas.openxmlformats.org/officeDocument/2006/relationships/hyperlink" Id="rId30"/>
    <Relationship TargetMode="External" Target="https://www.legis.iowa.gov/docs/iac/rule/161.3.5.pdf" Type="http://schemas.openxmlformats.org/officeDocument/2006/relationships/hyperlink" Id="rId31"/>
    <Relationship TargetMode="External" Target="https://www.legis.iowa.gov/docs/iac/rule/161.4.13.pdf" Type="http://schemas.openxmlformats.org/officeDocument/2006/relationships/hyperlink" Id="rId32"/>
    <Relationship TargetMode="External" Target="https://www.legis.iowa.gov/docs/iac/rule/161.4.14.pdf" Type="http://schemas.openxmlformats.org/officeDocument/2006/relationships/hyperlink" Id="rId33"/>
    <Relationship TargetMode="External" Target="https://www.legis.iowa.gov/docs/iac/rule/161.4.21.pdf" Type="http://schemas.openxmlformats.org/officeDocument/2006/relationships/hyperlink" Id="rId34"/>
    <Relationship TargetMode="External" Target="https://www.legis.iowa.gov/docs/iac/rule/161.4.32.pdf" Type="http://schemas.openxmlformats.org/officeDocument/2006/relationships/hyperlink" Id="rId35"/>
    <Relationship TargetMode="External" Target="https://www.legis.iowa.gov/docs/iac/rule/161.4.32.pdf" Type="http://schemas.openxmlformats.org/officeDocument/2006/relationships/hyperlink" Id="rId36"/>
    <Relationship TargetMode="External" Target="https://www.legis.iowa.gov/docs/ico/chapter/216.15.pdf" Type="http://schemas.openxmlformats.org/officeDocument/2006/relationships/hyperlink" Id="rId37"/>
    <Relationship TargetMode="External" Target="https://www.legis.iowa.gov/docs/ico/chapter/216.17.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216.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