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MISCELLANEOUS PROVISIONS</w:t>
      </w:r>
    </w:p>
    <w:p>
      <w:pPr>
        <w:spacing w:before="0" w:after="0"/>
        <w:ind w:left="120"/>
        <w:jc w:val="center"/>
      </w:pPr>
      <w:r>
        <w:rPr>
          <w:rFonts w:ascii="Times New Roman" w:hAnsi="Times New Roman"/>
          <w:b w:val="false"/>
          <w:i w:val="false"/>
          <w:color w:val="000000"/>
          <w:sz w:val="14"/>
        </w:rPr>
        <w:t>[Prior to 1/13/88, see Civil Rights 240—Ch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161—15.1</w:t>
      </w:r>
      <w:r>
        <w:rPr>
          <w:rFonts w:ascii="Times New Roman" w:hAnsi="Times New Roman"/>
          <w:b/>
          <w:i w:val="false"/>
          <w:color w:val="000000"/>
          <w:sz w:val="22"/>
        </w:rPr>
        <w:t xml:space="preserve">(216) </w:t>
      </w:r>
      <w:r>
        <w:rPr>
          <w:rFonts w:ascii="Times New Roman" w:hAnsi="Times New Roman"/>
          <w:b/>
          <w:i w:val="false"/>
          <w:color w:val="000000"/>
          <w:sz w:val="22"/>
        </w:rPr>
        <w:t xml:space="preserve">Partial invalidity. </w:t>
      </w:r>
      <w:r>
        <w:rPr>
          <w:rFonts w:ascii="Times New Roman" w:hAnsi="Times New Roman"/>
          <w:b w:val="false"/>
          <w:i w:val="false"/>
          <w:color w:val="000000"/>
          <w:sz w:val="22"/>
        </w:rPr>
        <w:t>If any provision of commission rules shall be held invalid, the remainder of the rules shall not be affected thereby. The invalidity of any of the rules with respect to a particular person or under particular circumstances shall not affect their application to other persons or different circumstances.</w:t>
      </w:r>
    </w:p>
    <w:p>
      <w:pPr>
        <w:spacing w:before="210" w:after="0"/>
        <w:ind w:left="120"/>
        <w:jc w:val="both"/>
      </w:pPr>
      <w:r>
        <w:rPr>
          <w:rFonts w:ascii="Times New Roman" w:hAnsi="Times New Roman"/>
          <w:b/>
          <w:i w:val="false"/>
          <w:color w:val="000000"/>
          <w:sz w:val="22"/>
        </w:rPr>
        <w:t>161—15.2</w:t>
      </w:r>
      <w:r>
        <w:rPr>
          <w:rFonts w:ascii="Times New Roman" w:hAnsi="Times New Roman"/>
          <w:b/>
          <w:i w:val="false"/>
          <w:color w:val="000000"/>
          <w:sz w:val="22"/>
        </w:rPr>
        <w:t xml:space="preserve">(216) </w:t>
      </w:r>
      <w:r>
        <w:rPr>
          <w:rFonts w:ascii="Times New Roman" w:hAnsi="Times New Roman"/>
          <w:b/>
          <w:i w:val="false"/>
          <w:color w:val="000000"/>
          <w:sz w:val="22"/>
        </w:rPr>
        <w:t xml:space="preserve">Availability of rules. </w:t>
      </w:r>
      <w:r>
        <w:rPr>
          <w:rFonts w:ascii="Times New Roman" w:hAnsi="Times New Roman"/>
          <w:b w:val="false"/>
          <w:i w:val="false"/>
          <w:color w:val="000000"/>
          <w:sz w:val="22"/>
        </w:rPr>
        <w:t>Copies of commission rules shall be available to the public on request.</w:t>
      </w:r>
    </w:p>
    <w:p>
      <w:pPr>
        <w:spacing w:before="0" w:after="0"/>
        <w:ind w:left="120"/>
        <w:jc w:val="both"/>
      </w:pPr>
      <w:r>
        <w:rPr>
          <w:rFonts w:ascii="Times New Roman" w:hAnsi="Times New Roman"/>
          <w:b/>
          <w:i w:val="false"/>
          <w:color w:val="000000"/>
          <w:sz w:val="22"/>
        </w:rPr>
        <w:t>161—15.3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Waiver of requirements imposed by commission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Filing of a request for waiver. </w:t>
      </w:r>
      <w:r>
        <w:rPr>
          <w:rFonts w:ascii="Times New Roman" w:hAnsi="Times New Roman"/>
          <w:b w:val="false"/>
          <w:i w:val="false"/>
          <w:color w:val="000000"/>
          <w:sz w:val="22"/>
        </w:rPr>
        <w:t xml:space="preserve">Any person may file a request for waiver of an administrative rule of the civil rights commission by writing a proper request which is received by Executive Director, Iowa Civil Rights Commission, Grimes State Office Building, 400 E. 14th Street, Des Moines, Iowa 50319-1004. All requests for waiver of an administrative rule must be in writing and meet all requirements set out in paragraph </w:t>
      </w:r>
      <w:hyperlink r:id="rId5">
        <w:r>
          <w:rPr>
            <w:rStyle w:val="Hyperlink"/>
            <w:rFonts w:ascii="Times New Roman" w:hAnsi="Times New Roman"/>
            <w:b w:val="false"/>
            <w:i w:val="false"/>
            <w:color w:val="000000"/>
            <w:sz w:val="22"/>
          </w:rPr>
          <w:t>15.3(2)</w:t>
        </w:r>
        <w:r>
          <w:rPr>
            <w:rFonts w:ascii="Times New Roman" w:hAnsi="Times New Roman"/>
            <w:b w:val="false"/>
            <w:i/>
            <w:color w:val="000000"/>
            <w:sz w:val="22"/>
          </w:rPr>
          <w:t>“a.”</w:t>
        </w:r>
      </w:hyperlink>
      <w:r>
        <w:rPr>
          <w:rFonts w:ascii="Times New Roman" w:hAnsi="Times New Roman"/>
          <w:b w:val="false"/>
          <w:i w:val="false"/>
          <w:color w:val="000000"/>
          <w:sz w:val="22"/>
        </w:rPr>
        <w:t xml:space="preserve"> A request for a waiver is filed by any of the methods listed in </w:t>
      </w:r>
      <w:hyperlink r:id="rId6">
        <w:r>
          <w:rPr>
            <w:rStyle w:val="Hyperlink"/>
            <w:rFonts w:ascii="Times New Roman" w:hAnsi="Times New Roman"/>
            <w:b w:val="false"/>
            <w:i w:val="false"/>
            <w:color w:val="000000"/>
            <w:sz w:val="22"/>
          </w:rPr>
          <w:t>rule 161—3.5(216)</w:t>
        </w:r>
      </w:hyperlink>
      <w:r>
        <w:rPr>
          <w:rFonts w:ascii="Times New Roman" w:hAnsi="Times New Roman"/>
          <w:b w:val="false"/>
          <w:i w:val="false"/>
          <w:color w:val="000000"/>
          <w:sz w:val="22"/>
        </w:rPr>
        <w:t xml:space="preserve">. The date a request for waiver is filed is governed by </w:t>
      </w:r>
      <w:hyperlink r:id="rId7">
        <w:r>
          <w:rPr>
            <w:rStyle w:val="Hyperlink"/>
            <w:rFonts w:ascii="Times New Roman" w:hAnsi="Times New Roman"/>
            <w:b w:val="false"/>
            <w:i w:val="false"/>
            <w:color w:val="000000"/>
            <w:sz w:val="22"/>
          </w:rPr>
          <w:t>161—subrule 3.5(4)</w:t>
        </w:r>
      </w:hyperlink>
      <w:r>
        <w:rPr>
          <w:rFonts w:ascii="Times New Roman" w:hAnsi="Times New Roman"/>
          <w:b w:val="false"/>
          <w:i w:val="false"/>
          <w:color w:val="000000"/>
          <w:sz w:val="22"/>
        </w:rPr>
        <w:t>. The commission shall provide the requester with a file-stamped copy of the request if the requester provides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contents. </w:t>
      </w:r>
      <w:r>
        <w:rPr>
          <w:rFonts w:ascii="Times New Roman" w:hAnsi="Times New Roman"/>
          <w:b w:val="false"/>
          <w:i w:val="false"/>
          <w:color w:val="000000"/>
          <w:sz w:val="22"/>
        </w:rPr>
        <w:t>A request for waiver of a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Prominently state on its face that it is a request for a waiver of an administrative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name and address of the entity or person for whom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Describe or give the citation of the specific rule for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the specific waiver requested.</w:t>
      </w:r>
    </w:p>
    <w:p>
      <w:pPr>
        <w:spacing w:before="0" w:after="0"/>
        <w:ind w:left="120"/>
        <w:jc w:val="both"/>
      </w:pPr>
      <w:r>
        <w:rPr>
          <w:rFonts w:ascii="Times New Roman" w:hAnsi="Times New Roman"/>
          <w:b w:val="false"/>
          <w:i w:val="false"/>
          <w:color w:val="000000"/>
          <w:sz w:val="22"/>
        </w:rPr>
        <w:t>The commission shall not process a filing as a request for a waiver if that filing does not conform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Suggested contents. </w:t>
      </w:r>
      <w:r>
        <w:rPr>
          <w:rFonts w:ascii="Times New Roman" w:hAnsi="Times New Roman"/>
          <w:b w:val="false"/>
          <w:i w:val="false"/>
          <w:color w:val="000000"/>
          <w:sz w:val="22"/>
        </w:rPr>
        <w:t>In addition, a request for waiver of a rule should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all relevant facts that the requester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reasons the requester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history of the commission’s action relative to the requester. If the request is in connection with a complaint of discrimination on file with the commission, the requester should identify the complaint at issue including, if possible, the complaint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any information regarding the commission’s treatment of similar cases,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the name, address and telephone number of any person inside or outside state government who would be adversely affected by the grant of the request or who otherwise possesses knowledge of the matter with respect to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Procedure for evaluating requests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of request. </w:t>
      </w:r>
      <w:r>
        <w:rPr>
          <w:rFonts w:ascii="Times New Roman" w:hAnsi="Times New Roman"/>
          <w:b w:val="false"/>
          <w:i w:val="false"/>
          <w:color w:val="000000"/>
          <w:sz w:val="22"/>
        </w:rPr>
        <w:t>Within 30 days after the receipt of a request for waiver of an administrative rule, the commission shall provide a copy to all persons who are required to receive one by a provision of law. The commission may also provide a copy of the request to those individuals whom the requester has identified as being adversely affected by a grant of the request. In the case of a request made in connection with a complaint of discrimination on file with the commission, the commission shall provide a copy of the request to all other parties in the case. Service may occur by regular mail. If necessary for maintenance of the confidentiality of a commission investigation, information may be redacted from a request for waiver before the request is provided to persons other than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maker for request. </w:t>
      </w:r>
      <w:r>
        <w:rPr>
          <w:rFonts w:ascii="Times New Roman" w:hAnsi="Times New Roman"/>
          <w:b w:val="false"/>
          <w:i w:val="false"/>
          <w:color w:val="000000"/>
          <w:sz w:val="22"/>
        </w:rPr>
        <w:t>The decision whether to grant a request for waiver shall be made either by the executive director or upon a vote of the commissioners. If the request is made in connection with a complaint of discrimination on file with the commission, any discussion by the commissioners of the request for waiver may be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The decision maker or a designated member of the commission staff may conduct an investigation into any factual issue which is relevant to the request for a waiver. A refusal by the requester to cooperate in this investigation may be grounds to deny the request for waiver. In the case of a request made in connection with a complaint of discrimination, if any party to the complaint refuses to cooperate in the investigation, the decision maker may infer that the requested information would be adverse to the uncooperative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frame for decision on request. </w:t>
      </w:r>
      <w:r>
        <w:rPr>
          <w:rFonts w:ascii="Times New Roman" w:hAnsi="Times New Roman"/>
          <w:b w:val="false"/>
          <w:i w:val="false"/>
          <w:color w:val="000000"/>
          <w:sz w:val="22"/>
        </w:rPr>
        <w:t xml:space="preserve">The commission shall render a decision on a request for waiver of a rule within 120 days of receipt of the request. During this period the commission may extend the time for rendering a decision by notifying all persons who were notified of the request pursuant to paragraph </w:t>
      </w:r>
      <w:hyperlink r:id="rId8">
        <w:r>
          <w:rPr>
            <w:rStyle w:val="Hyperlink"/>
            <w:rFonts w:ascii="Times New Roman" w:hAnsi="Times New Roman"/>
            <w:b w:val="false"/>
            <w:i w:val="false"/>
            <w:color w:val="000000"/>
            <w:sz w:val="22"/>
          </w:rPr>
          <w:t>15.3(3)</w:t>
        </w:r>
        <w:r>
          <w:rPr>
            <w:rFonts w:ascii="Times New Roman" w:hAnsi="Times New Roman"/>
            <w:b w:val="false"/>
            <w:i/>
            <w:color w:val="000000"/>
            <w:sz w:val="22"/>
          </w:rPr>
          <w:t>“a”</w:t>
        </w:r>
      </w:hyperlink>
      <w:r>
        <w:rPr>
          <w:rFonts w:ascii="Times New Roman" w:hAnsi="Times New Roman"/>
          <w:b w:val="false"/>
          <w:i w:val="false"/>
          <w:color w:val="000000"/>
          <w:sz w:val="22"/>
        </w:rPr>
        <w:t xml:space="preserve"> that the time for rendering a decision has been extended. This notice shall include a new time frame for rendering the decision. Failure to render a decision or extend the time for rendering a decision within the required period shall be deemed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w:t>
      </w:r>
      <w:r>
        <w:rPr>
          <w:rFonts w:ascii="Times New Roman" w:hAnsi="Times New Roman"/>
          <w:b w:val="false"/>
          <w:i w:val="false"/>
          <w:color w:val="000000"/>
          <w:sz w:val="22"/>
        </w:rPr>
        <w:t xml:space="preserve">The commission shall send any decision rendered concerning the request for waiver to all persons who were notified of the request pursuant to paragraph </w:t>
      </w:r>
      <w:hyperlink r:id="rId9">
        <w:r>
          <w:rPr>
            <w:rStyle w:val="Hyperlink"/>
            <w:rFonts w:ascii="Times New Roman" w:hAnsi="Times New Roman"/>
            <w:b w:val="false"/>
            <w:i w:val="false"/>
            <w:color w:val="000000"/>
            <w:sz w:val="22"/>
          </w:rPr>
          <w:t>15.3(3)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Form of grant of request. </w:t>
      </w:r>
      <w:r>
        <w:rPr>
          <w:rFonts w:ascii="Times New Roman" w:hAnsi="Times New Roman"/>
          <w:b w:val="false"/>
          <w:i w:val="false"/>
          <w:color w:val="000000"/>
          <w:sz w:val="22"/>
        </w:rPr>
        <w:t xml:space="preserve">Any waiver shall be the narrowest exception possible to the provisions of the rule. A waiver shall not be permanent unless the requester has shown that a temporary waiver is impracticable. The commission may renew a temporary waiver without a request if the commission finds that the factors of paragraph </w:t>
      </w:r>
      <w:hyperlink r:id="rId10">
        <w:r>
          <w:rPr>
            <w:rStyle w:val="Hyperlink"/>
            <w:rFonts w:ascii="Times New Roman" w:hAnsi="Times New Roman"/>
            <w:b w:val="false"/>
            <w:i w:val="false"/>
            <w:color w:val="000000"/>
            <w:sz w:val="22"/>
          </w:rPr>
          <w:t>15.3(4)</w:t>
        </w:r>
        <w:r>
          <w:rPr>
            <w:rFonts w:ascii="Times New Roman" w:hAnsi="Times New Roman"/>
            <w:b w:val="false"/>
            <w:i/>
            <w:color w:val="000000"/>
            <w:sz w:val="22"/>
          </w:rPr>
          <w:t>“b”</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Standard for evaluating request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person who requests from the commission a waiver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 </w:t>
      </w:r>
      <w:r>
        <w:rPr>
          <w:rFonts w:ascii="Times New Roman" w:hAnsi="Times New Roman"/>
          <w:b w:val="false"/>
          <w:i w:val="false"/>
          <w:color w:val="000000"/>
          <w:sz w:val="22"/>
        </w:rPr>
        <w:t>A request for a waiver shall be evaluated based on the unique, individual circumstances set out in the request. A waiver may be granted only if the decision maker finds clear and convincing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pose an undue hardship on the person for whom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a rule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provisions of a rule subject to a request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Granting the request would not waive any requirement created or duty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Exceptions to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Waiver in contested cases. </w:t>
      </w:r>
      <w:r>
        <w:rPr>
          <w:rFonts w:ascii="Times New Roman" w:hAnsi="Times New Roman"/>
          <w:b w:val="false"/>
          <w:i w:val="false"/>
          <w:color w:val="000000"/>
          <w:sz w:val="22"/>
        </w:rPr>
        <w:t xml:space="preserve">This rule does not apply to any request for a waiver of a rule which is made in connection with a contested case before the commission. Waiver requests made in connection with a contested case are governed by rule </w:t>
      </w:r>
      <w:hyperlink r:id="rId11">
        <w:r>
          <w:rPr>
            <w:rStyle w:val="Hyperlink"/>
            <w:rFonts w:ascii="Times New Roman" w:hAnsi="Times New Roman"/>
            <w:b w:val="false"/>
            <w:i w:val="false"/>
            <w:color w:val="000000"/>
            <w:sz w:val="22"/>
          </w:rPr>
          <w:t>161—4.29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 applicable to this rule. </w:t>
      </w:r>
      <w:r>
        <w:rPr>
          <w:rFonts w:ascii="Times New Roman" w:hAnsi="Times New Roman"/>
          <w:b w:val="false"/>
          <w:i w:val="false"/>
          <w:color w:val="000000"/>
          <w:sz w:val="22"/>
        </w:rPr>
        <w:t>No person may request a waiver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by commission officials. </w:t>
      </w:r>
      <w:r>
        <w:rPr>
          <w:rFonts w:ascii="Times New Roman" w:hAnsi="Times New Roman"/>
          <w:b w:val="false"/>
          <w:i w:val="false"/>
          <w:color w:val="000000"/>
          <w:sz w:val="22"/>
        </w:rPr>
        <w:t>No commissioner, commission staff member or other commission official may file a request for a waiver of a requirement placed upon that individual as part of that individual’s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requirements. </w:t>
      </w:r>
      <w:r>
        <w:rPr>
          <w:rFonts w:ascii="Times New Roman" w:hAnsi="Times New Roman"/>
          <w:b w:val="false"/>
          <w:i w:val="false"/>
          <w:color w:val="000000"/>
          <w:sz w:val="22"/>
        </w:rPr>
        <w:t>This rule does not authorize the commission to waive any time requirement of an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 effect on case status. </w:t>
      </w:r>
      <w:r>
        <w:rPr>
          <w:rFonts w:ascii="Times New Roman" w:hAnsi="Times New Roman"/>
          <w:b w:val="false"/>
          <w:i w:val="false"/>
          <w:color w:val="000000"/>
          <w:sz w:val="22"/>
        </w:rPr>
        <w:t xml:space="preserve">In the case of a request made in connection with a complaint of discrimination on file with the commission, the commission may not grant a request for waiver if this would either close a case which was open at the time of the request or reopen a case which was closed at the time of the request. The reopening provisions of rule </w:t>
      </w:r>
      <w:hyperlink r:id="rId12">
        <w:r>
          <w:rPr>
            <w:rStyle w:val="Hyperlink"/>
            <w:rFonts w:ascii="Times New Roman" w:hAnsi="Times New Roman"/>
            <w:b w:val="false"/>
            <w:i w:val="false"/>
            <w:color w:val="000000"/>
            <w:sz w:val="22"/>
          </w:rPr>
          <w:t>161—3.16</w:t>
        </w:r>
      </w:hyperlink>
      <w:r>
        <w:rPr>
          <w:rFonts w:ascii="Times New Roman" w:hAnsi="Times New Roman"/>
          <w:b w:val="false"/>
          <w:i w:val="false"/>
          <w:color w:val="000000"/>
          <w:sz w:val="22"/>
        </w:rPr>
        <w:t>(216), however,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Public inspection of waiver requests. </w:t>
      </w:r>
      <w:r>
        <w:rPr>
          <w:rFonts w:ascii="Times New Roman" w:hAnsi="Times New Roman"/>
          <w:b w:val="false"/>
          <w:i w:val="false"/>
          <w:color w:val="000000"/>
          <w:sz w:val="22"/>
        </w:rPr>
        <w:t xml:space="preserve">All waiver requests and responses shall be indexed by administrative rule number and available to members of the public for inspection at the offices of the Civil Rights Commission, Grimes State Office Building, 400 E. 14th Street, Des Moines, Iowa 50319. Identifying information concerning any person, including parties to complaints on file, may be withheld by the commission in order to protect the confidentiality of case-related information as required by Iowa Code section </w:t>
      </w:r>
      <w:hyperlink r:id="rId13">
        <w:r>
          <w:rPr>
            <w:rStyle w:val="Hyperlink"/>
            <w:rFonts w:ascii="Times New Roman" w:hAnsi="Times New Roman"/>
            <w:b w:val="false"/>
            <w:i w:val="false"/>
            <w:color w:val="000000"/>
            <w:sz w:val="22"/>
          </w:rPr>
          <w:t>216.15(5)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8733B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5824C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6/21/01, Notice 5/2/01—published 7/11/01, effective 8/15/01]</w:t>
      </w:r>
    </w:p>
    <w:p>
      <w:pPr>
        <w:spacing w:before="0" w:after="0"/>
        <w:ind w:left="120"/>
        <w:jc w:val="center"/>
      </w:pPr>
      <w:r>
        <w:rPr>
          <w:rFonts w:ascii="Times New Roman" w:hAnsi="Times New Roman"/>
          <w:b w:val="false"/>
          <w:i w:val="false"/>
          <w:color w:val="000000"/>
          <w:sz w:val="21"/>
        </w:rPr>
        <w:t>[Filed ARC 8733B</w:t>
      </w:r>
      <w:r>
        <w:rPr>
          <w:rFonts w:ascii="Times New Roman" w:hAnsi="Times New Roman"/>
          <w:b w:val="false"/>
          <w:i w:val="false"/>
          <w:color w:val="000000"/>
          <w:sz w:val="21"/>
        </w:rPr>
        <w:t xml:space="preserve"> (Notice ARC 8560B,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5824C</w:t>
      </w:r>
      <w:r>
        <w:rPr>
          <w:rFonts w:ascii="Times New Roman" w:hAnsi="Times New Roman"/>
          <w:b w:val="false"/>
          <w:i w:val="false"/>
          <w:color w:val="000000"/>
          <w:sz w:val="21"/>
        </w:rPr>
        <w:t xml:space="preserve"> (Notice ARC 5565C, IAB 4/21/21)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61.15.3.pdf" Type="http://schemas.openxmlformats.org/officeDocument/2006/relationships/hyperlink" Id="rId5"/>
    <Relationship TargetMode="External" Target="https://www.legis.iowa.gov/docs/iac/rule/161.3.5.pdf" Type="http://schemas.openxmlformats.org/officeDocument/2006/relationships/hyperlink" Id="rId6"/>
    <Relationship TargetMode="External" Target="https://www.legis.iowa.gov/docs/iac/rule/161.3.5.pdf" Type="http://schemas.openxmlformats.org/officeDocument/2006/relationships/hyperlink" Id="rId7"/>
    <Relationship TargetMode="External" Target="https://www.legis.iowa.gov/docs/iac/rule/161.15.3.pdf" Type="http://schemas.openxmlformats.org/officeDocument/2006/relationships/hyperlink" Id="rId8"/>
    <Relationship TargetMode="External" Target="https://www.legis.iowa.gov/docs/iac/rule/161.15.3.pdf" Type="http://schemas.openxmlformats.org/officeDocument/2006/relationships/hyperlink" Id="rId9"/>
    <Relationship TargetMode="External" Target="https://www.legis.iowa.gov/docs/iac/rule/161.15.3.pdf" Type="http://schemas.openxmlformats.org/officeDocument/2006/relationships/hyperlink" Id="rId10"/>
    <Relationship TargetMode="External" Target="https://www.legis.iowa.gov/docs/iac/rule/161.4.29.pdf" Type="http://schemas.openxmlformats.org/officeDocument/2006/relationships/hyperlink" Id="rId11"/>
    <Relationship TargetMode="External" Target="https://www.legis.iowa.gov/docs/iac/rule/161.3.16.pdf" Type="http://schemas.openxmlformats.org/officeDocument/2006/relationships/hyperlink" Id="rId12"/>
    <Relationship TargetMode="External" Target="https://www.legis.iowa.gov/docs/ico/chapter/216.15.pdf" Type="http://schemas.openxmlformats.org/officeDocument/2006/relationships/hyperlink" Id="rId13"/>
    <Relationship TargetMode="External" Target="https://www.legis.iowa.gov/docs/ico/chapter/21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