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161—11.1</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executive director, or a person lawfully delegated authority by the executive director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161—11.2</w:t>
      </w:r>
      <w:r>
        <w:rPr>
          <w:rFonts w:ascii="Times New Roman" w:hAnsi="Times New Roman"/>
          <w:b/>
          <w:i w:val="false"/>
          <w:color w:val="000000"/>
          <w:sz w:val="22"/>
        </w:rPr>
        <w:t xml:space="preserve">(17A,22,216)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This chapter implements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xml:space="preserve"> by establishing agency policies and procedures for the maintenance of records. The purpose of this chapter is to facilitate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161—11.3</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Iowa civil rights commission or the particular agency office where the record is kept. The request shall be directed to the Iowa Civil Rights Commission, Grimes State Office Building, 400 E. 14th Street, Des Moines, Iowa 50319-1004.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5">
        <w:r>
          <w:rPr>
            <w:rStyle w:val="Hyperlink"/>
            <w:rFonts w:ascii="Times New Roman" w:hAnsi="Times New Roman"/>
            <w:b w:val="false"/>
            <w:i w:val="false"/>
            <w:color w:val="000000"/>
            <w:sz w:val="22"/>
          </w:rPr>
          <w:t>161—11.4</w:t>
        </w:r>
      </w:hyperlink>
      <w:r>
        <w:rPr>
          <w:rFonts w:ascii="Times New Roman" w:hAnsi="Times New Roman"/>
          <w:b w:val="false"/>
          <w:i w:val="false"/>
          <w:color w:val="000000"/>
          <w:sz w:val="22"/>
        </w:rPr>
        <w:t>(17A,22,216)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when the supervision time required is in excess of one-half hour. The custodian shall prominently post in agency offices the hourly fees to be charged for supervision of records during examination and copying. That hourly fee shall not be in excess of the hourly wage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may be charged where appropriate.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8733B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161—11.4</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may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7">
        <w:r>
          <w:rPr>
            <w:rStyle w:val="Hyperlink"/>
            <w:rFonts w:ascii="Times New Roman" w:hAnsi="Times New Roman"/>
            <w:b w:val="false"/>
            <w:i w:val="false"/>
            <w:color w:val="000000"/>
            <w:sz w:val="22"/>
          </w:rPr>
          <w:t>161—11.3</w:t>
        </w:r>
      </w:hyperlink>
      <w:r>
        <w:rPr>
          <w:rFonts w:ascii="Times New Roman" w:hAnsi="Times New Roman"/>
          <w:b w:val="false"/>
          <w:i w:val="false"/>
          <w:color w:val="000000"/>
          <w:sz w:val="22"/>
        </w:rPr>
        <w:t>(17A,22,216).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161—11.5</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2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22.7(6),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161—11.6</w:t>
      </w:r>
      <w:r>
        <w:rPr>
          <w:rFonts w:ascii="Times New Roman" w:hAnsi="Times New Roman"/>
          <w:b/>
          <w:i w:val="false"/>
          <w:color w:val="000000"/>
          <w:sz w:val="22"/>
        </w:rPr>
        <w:t xml:space="preserve">(17A,22,216)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The request to review a written statement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161—11.7</w:t>
      </w:r>
      <w:r>
        <w:rPr>
          <w:rFonts w:ascii="Times New Roman" w:hAnsi="Times New Roman"/>
          <w:b/>
          <w:i w:val="false"/>
          <w:color w:val="000000"/>
          <w:sz w:val="22"/>
        </w:rPr>
        <w:t xml:space="preserve">(17A,22,216)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210" w:after="0"/>
        <w:ind w:left="120"/>
        <w:jc w:val="both"/>
      </w:pPr>
      <w:r>
        <w:rPr>
          <w:rFonts w:ascii="Times New Roman" w:hAnsi="Times New Roman"/>
          <w:b/>
          <w:i w:val="false"/>
          <w:color w:val="000000"/>
          <w:sz w:val="22"/>
        </w:rPr>
        <w:t>161—11.8</w:t>
      </w:r>
      <w:r>
        <w:rPr>
          <w:rFonts w:ascii="Times New Roman" w:hAnsi="Times New Roman"/>
          <w:b/>
          <w:i w:val="false"/>
          <w:color w:val="000000"/>
          <w:sz w:val="22"/>
        </w:rPr>
        <w:t xml:space="preserve">(17A,22,216)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a person to supply information about that person, the agency shall notify the person of the use that will be made of the information, which persons outside the agency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i w:val="false"/>
          <w:color w:val="000000"/>
          <w:sz w:val="22"/>
        </w:rPr>
        <w:t>161—11.9</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may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3">
        <w:r>
          <w:rPr>
            <w:rStyle w:val="Hyperlink"/>
            <w:rFonts w:ascii="Times New Roman" w:hAnsi="Times New Roman"/>
            <w:b w:val="false"/>
            <w:i w:val="false"/>
            <w:color w:val="000000"/>
            <w:sz w:val="22"/>
          </w:rPr>
          <w:t>161—11.10</w:t>
        </w:r>
      </w:hyperlink>
      <w:r>
        <w:rPr>
          <w:rFonts w:ascii="Times New Roman" w:hAnsi="Times New Roman"/>
          <w:b w:val="false"/>
          <w:i w:val="false"/>
          <w:color w:val="000000"/>
          <w:sz w:val="22"/>
        </w:rPr>
        <w:t>(17A,22,216)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any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4">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citizens’ aide/ombudsman under Iowa Code section </w:t>
      </w:r>
      <w:hyperlink r:id="rId25">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161—11.10</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may be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agency or officer which this office is advising or representing in the matter in question or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161—11.11</w:t>
      </w:r>
      <w:r>
        <w:rPr>
          <w:rFonts w:ascii="Times New Roman" w:hAnsi="Times New Roman"/>
          <w:b/>
          <w:i w:val="false"/>
          <w:color w:val="000000"/>
          <w:sz w:val="22"/>
        </w:rPr>
        <w:t xml:space="preserve">(17A,22,216)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The subject may consent in writing to agency disclosure of confidential records as provided in rule </w:t>
      </w:r>
      <w:hyperlink r:id="rId27">
        <w:r>
          <w:rPr>
            <w:rStyle w:val="Hyperlink"/>
            <w:rFonts w:ascii="Times New Roman" w:hAnsi="Times New Roman"/>
            <w:b w:val="false"/>
            <w:i w:val="false"/>
            <w:color w:val="000000"/>
            <w:sz w:val="22"/>
          </w:rPr>
          <w:t>161—11.7</w:t>
        </w:r>
      </w:hyperlink>
      <w:r>
        <w:rPr>
          <w:rFonts w:ascii="Times New Roman" w:hAnsi="Times New Roman"/>
          <w:b w:val="false"/>
          <w:i w:val="false"/>
          <w:color w:val="000000"/>
          <w:sz w:val="22"/>
        </w:rPr>
        <w:t>(17A,22,216).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161—11.12</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 The office also has possession of records which may be open records but which are copies of materials from another agency, which have been filed in judicial or administrative proceedings, or which are available in the state law library. This office will often refer persons to the originating agency, the clerk of the appropriate court, or the law library for those records. This is consistent with the functions of those entities, ensures that the requester get a clean official copy of the record, and protects the integrity of attorney files against unintended disclosures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28">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hyperlink r:id="rId29">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3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2">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investigations,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(Iowa Code sections </w:t>
      </w:r>
      <w:hyperlink r:id="rId33">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216.15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36">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R.Civ.P. 26(b)(3), and case law. Attorney-client communications are confidential under Iowa Code sections </w:t>
      </w:r>
      <w:hyperlink r:id="rId3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Records collected or generated by Iowa civil rights commission staff or commissioners relating to any step in the civil rights complaint process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records made confidential by law. (Iowa Code section </w:t>
      </w:r>
      <w:hyperlink r:id="rId41">
        <w:r>
          <w:rPr>
            <w:rStyle w:val="Hyperlink"/>
            <w:rFonts w:ascii="Times New Roman" w:hAnsi="Times New Roman"/>
            <w:b w:val="false"/>
            <w:i w:val="false"/>
            <w:color w:val="000000"/>
            <w:sz w:val="22"/>
          </w:rPr>
          <w:t>216.15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4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which authorizes limited or discretionary disclosure as provided in rule </w:t>
      </w:r>
      <w:hyperlink r:id="rId43">
        <w:r>
          <w:rPr>
            <w:rStyle w:val="Hyperlink"/>
            <w:rFonts w:ascii="Times New Roman" w:hAnsi="Times New Roman"/>
            <w:b w:val="false"/>
            <w:i w:val="false"/>
            <w:color w:val="000000"/>
            <w:sz w:val="22"/>
          </w:rPr>
          <w:t>161—11.4</w:t>
        </w:r>
      </w:hyperlink>
      <w:r>
        <w:rPr>
          <w:rFonts w:ascii="Times New Roman" w:hAnsi="Times New Roman"/>
          <w:b w:val="false"/>
          <w:i w:val="false"/>
          <w:color w:val="000000"/>
          <w:sz w:val="22"/>
        </w:rPr>
        <w:t xml:space="preserve">(17A,22,216). If the agency initially determines that it will release such records, the agency may, where appropriate, notify interested persons and withhold the records from inspection as provided in subrule </w:t>
      </w:r>
      <w:hyperlink r:id="rId44">
        <w:r>
          <w:rPr>
            <w:rStyle w:val="Hyperlink"/>
            <w:rFonts w:ascii="Times New Roman" w:hAnsi="Times New Roman"/>
            <w:b w:val="false"/>
            <w:i w:val="false"/>
            <w:color w:val="000000"/>
            <w:sz w:val="22"/>
          </w:rPr>
          <w:t>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161—11.13</w:t>
      </w:r>
      <w:r>
        <w:rPr>
          <w:rFonts w:ascii="Times New Roman" w:hAnsi="Times New Roman"/>
          <w:b/>
          <w:i w:val="false"/>
          <w:color w:val="000000"/>
          <w:sz w:val="22"/>
        </w:rPr>
        <w:t xml:space="preserve">(17A,22,216)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5">
        <w:r>
          <w:rPr>
            <w:rStyle w:val="Hyperlink"/>
            <w:rFonts w:ascii="Times New Roman" w:hAnsi="Times New Roman"/>
            <w:b w:val="false"/>
            <w:i w:val="false"/>
            <w:color w:val="000000"/>
            <w:sz w:val="22"/>
          </w:rPr>
          <w:t>161—11.1</w:t>
        </w:r>
      </w:hyperlink>
      <w:r>
        <w:rPr>
          <w:rFonts w:ascii="Times New Roman" w:hAnsi="Times New Roman"/>
          <w:b w:val="false"/>
          <w:i w:val="false"/>
          <w:color w:val="000000"/>
          <w:sz w:val="22"/>
        </w:rPr>
        <w:t xml:space="preserve">(17A,22,216). Unless otherwise stated, the authority for this office to maintain the record is provided by Iowa Code chapter </w:t>
      </w:r>
      <w:hyperlink r:id="rId4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statutes governing the subject matter of the record, and the enabling statutes of the agency client, where applicable. The record systems maintained by the agency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Investigatory files. </w:t>
      </w:r>
      <w:r>
        <w:rPr>
          <w:rFonts w:ascii="Times New Roman" w:hAnsi="Times New Roman"/>
          <w:b w:val="false"/>
          <w:i w:val="false"/>
          <w:color w:val="000000"/>
          <w:sz w:val="22"/>
        </w:rPr>
        <w:t>These files or records contain information collected or generated by Iowa civil rights commission staff or commissioners relating to any step in the complaint process beginning with the consideration or contemplation of filing a complaint up to the issuance of a notice of public hearing. Most of these records are paper files. However, some case management records and other records are in computer form. Those files are commonly indexed by the name of the opposing party. Some files are indexed by subject matter, witness, agency or other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pleadings, briefs, depositions, discovery material, docket sheets, documents, general correspondence, attorney-client correspondence, attorneys’ notes, memoranda, research materials, witness information, investigation materials, information compiled under the direction of the attorney, and case management records. Most of these records are paper files. However, some case management records and other records are in computer form. The files are generally maintained by division and are commonly indexed by the name of the opposing party. Some files are indexed by subject matter, witness, agency, or other category.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State of Iowa files are a subpart of the complaint file system and contain general information on an individual or business including correspondence, investigative information, agency subpoenas, demands for information and responses. Work product information contained in the state of Iowa file is considered confidential.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Iowa civil rights commission and individual divisions maintain files containing information about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161—11.14</w:t>
      </w:r>
      <w:r>
        <w:rPr>
          <w:rFonts w:ascii="Times New Roman" w:hAnsi="Times New Roman"/>
          <w:b/>
          <w:i w:val="false"/>
          <w:color w:val="000000"/>
          <w:sz w:val="22"/>
        </w:rPr>
        <w:t xml:space="preserve">(17A,22,216)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8">
        <w:r>
          <w:rPr>
            <w:rStyle w:val="Hyperlink"/>
            <w:rFonts w:ascii="Times New Roman" w:hAnsi="Times New Roman"/>
            <w:b w:val="false"/>
            <w:i w:val="false"/>
            <w:color w:val="000000"/>
            <w:sz w:val="22"/>
          </w:rPr>
          <w:t>161—11.1</w:t>
        </w:r>
      </w:hyperlink>
      <w:r>
        <w:rPr>
          <w:rFonts w:ascii="Times New Roman" w:hAnsi="Times New Roman"/>
          <w:b w:val="false"/>
          <w:i w:val="false"/>
          <w:color w:val="000000"/>
          <w:sz w:val="22"/>
        </w:rPr>
        <w:t xml:space="preserve">(17A,22,216). The records listed may contain information about individuals. Unless otherwise designated, the authority for this office to maintain the record is provided by Iowa Code chapter </w:t>
      </w:r>
      <w:hyperlink r:id="rId49">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statutes governing the subject matter of the record. Those privileges may render some or all of the following information confidential whether or not asserted in the description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 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press releases, statistical reports, Iowa civil rights commission case reports and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Information in office manuals such as the investigator handbook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210" w:after="0"/>
        <w:ind w:left="120"/>
        <w:jc w:val="both"/>
      </w:pPr>
      <w:r>
        <w:rPr>
          <w:rFonts w:ascii="Times New Roman" w:hAnsi="Times New Roman"/>
          <w:b/>
          <w:i w:val="false"/>
          <w:color w:val="000000"/>
          <w:sz w:val="22"/>
        </w:rPr>
        <w:t>161—11.15</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data processing systems used by the agency compare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161—11.16</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regulations.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Make available to the general public records which would otherwise not be available under Iowa Code section </w:t>
      </w:r>
      <w:hyperlink r:id="rId51">
        <w:r>
          <w:rPr>
            <w:rStyle w:val="Hyperlink"/>
            <w:rFonts w:ascii="Times New Roman" w:hAnsi="Times New Roman"/>
            <w:b w:val="false"/>
            <w:i w:val="false"/>
            <w:color w:val="000000"/>
            <w:sz w:val="22"/>
          </w:rPr>
          <w:t>216.15(4)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161—11.17</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Access to file information. </w:t>
      </w:r>
      <w:r>
        <w:rPr>
          <w:rFonts w:ascii="Times New Roman" w:hAnsi="Times New Roman"/>
          <w:b w:val="false"/>
          <w:i w:val="false"/>
          <w:color w:val="000000"/>
          <w:sz w:val="22"/>
        </w:rPr>
        <w:t>The disclosure of information whether a change has been filed or not, or revealing the contents of any file is prohibited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final decision per </w:t>
      </w:r>
      <w:hyperlink r:id="rId52">
        <w:r>
          <w:rPr>
            <w:rStyle w:val="Hyperlink"/>
            <w:rFonts w:ascii="Times New Roman" w:hAnsi="Times New Roman"/>
            <w:b w:val="false"/>
            <w:i w:val="false"/>
            <w:color w:val="000000"/>
            <w:sz w:val="22"/>
          </w:rPr>
          <w:t>161—subrule 2.1(10)</w:t>
        </w:r>
      </w:hyperlink>
      <w:r>
        <w:rPr>
          <w:rFonts w:ascii="Times New Roman" w:hAnsi="Times New Roman"/>
          <w:b w:val="false"/>
          <w:i w:val="false"/>
          <w:color w:val="000000"/>
          <w:sz w:val="22"/>
        </w:rPr>
        <w:t xml:space="preserve"> has been reached, a party or a party’s attorney may, upon showing that a petition appealing the commission action has been filed, have access to the commission’s case file on that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case has been approved for public hearing and the notice of hearing has been issued, any party or party’s attorney may have access to file information through prehearing discovery measures provided in </w:t>
      </w:r>
      <w:hyperlink r:id="rId53">
        <w:r>
          <w:rPr>
            <w:rStyle w:val="Hyperlink"/>
            <w:rFonts w:ascii="Times New Roman" w:hAnsi="Times New Roman"/>
            <w:b w:val="false"/>
            <w:i w:val="false"/>
            <w:color w:val="000000"/>
            <w:sz w:val="22"/>
          </w:rPr>
          <w:t>161—4.6</w:t>
        </w:r>
      </w:hyperlink>
      <w:r>
        <w:rPr>
          <w:rFonts w:ascii="Times New Roman" w:hAnsi="Times New Roman"/>
          <w:b w:val="false"/>
          <w:i w:val="false"/>
          <w:color w:val="000000"/>
          <w:sz w:val="22"/>
        </w:rPr>
        <w:t xml:space="preserve">(216). In addition, file information may be sought pursuant to Iowa Code subsection </w:t>
      </w:r>
      <w:hyperlink r:id="rId54">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11.17(3)</w:t>
      </w:r>
      <w:r>
        <w:rPr>
          <w:rFonts w:ascii="Times New Roman" w:hAnsi="Times New Roman"/>
          <w:b w:val="false"/>
          <w:i w:val="false"/>
          <w:color w:val="000000"/>
          <w:sz w:val="22"/>
        </w:rPr>
        <w:t> </w:t>
      </w:r>
      <w:r>
        <w:rPr>
          <w:rFonts w:ascii="Times New Roman" w:hAnsi="Times New Roman"/>
          <w:b w:val="false"/>
          <w:i w:val="false"/>
          <w:color w:val="000000"/>
          <w:sz w:val="22"/>
        </w:rPr>
        <w:t>If a decision rendered by the commission in a contested case has been appealed, any party or party’s attorney may, upon showing that the decision has been appealed, have access to the commission’s case file on that complaint.</w:t>
      </w:r>
    </w:p>
    <w:p>
      <w:pPr>
        <w:spacing w:before="0" w:after="0"/>
        <w:ind w:left="120"/>
        <w:jc w:val="both"/>
      </w:pPr>
      <w:r>
        <w:rPr>
          <w:rFonts w:ascii="Times New Roman" w:hAnsi="Times New Roman"/>
          <w:b w:val="false"/>
          <w:i w:val="false"/>
          <w:color w:val="000000"/>
          <w:sz w:val="22"/>
        </w:rPr>
        <w:t>The fact that copies of documents related or gathered during an investigation of a complaint are introduced as evidence during the course of a contested case proceeding does not affect the confidential status of all other documents within the file which are not introduced as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has issued a right-to-sue letter per </w:t>
      </w:r>
      <w:hyperlink r:id="rId55">
        <w:r>
          <w:rPr>
            <w:rStyle w:val="Hyperlink"/>
            <w:rFonts w:ascii="Times New Roman" w:hAnsi="Times New Roman"/>
            <w:b w:val="false"/>
            <w:i w:val="false"/>
            <w:color w:val="000000"/>
            <w:sz w:val="22"/>
          </w:rPr>
          <w:t>161—subrule 3.10(3)</w:t>
        </w:r>
      </w:hyperlink>
      <w:r>
        <w:rPr>
          <w:rFonts w:ascii="Times New Roman" w:hAnsi="Times New Roman"/>
          <w:b w:val="false"/>
          <w:i w:val="false"/>
          <w:color w:val="000000"/>
          <w:sz w:val="22"/>
        </w:rPr>
        <w:t>, a party or party’s attorney may have access to the commission’s case file on that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11.17(5)</w:t>
      </w:r>
      <w:r>
        <w:rPr>
          <w:rFonts w:ascii="Times New Roman" w:hAnsi="Times New Roman"/>
          <w:b w:val="false"/>
          <w:i w:val="false"/>
          <w:color w:val="000000"/>
          <w:sz w:val="22"/>
        </w:rPr>
        <w:t> </w:t>
      </w:r>
      <w:r>
        <w:rPr>
          <w:rFonts w:ascii="Times New Roman" w:hAnsi="Times New Roman"/>
          <w:b w:val="false"/>
          <w:i w:val="false"/>
          <w:color w:val="000000"/>
          <w:sz w:val="22"/>
        </w:rPr>
        <w:t>Only upon written notification, from an attorney or a party, that the attorney represents that party may the attorney then obtain access to the commission case file on the same terms as that party.</w:t>
      </w:r>
    </w:p>
    <w:p>
      <w:pPr>
        <w:spacing w:before="0" w:after="0"/>
        <w:ind w:left="120"/>
        <w:jc w:val="center"/>
      </w:pPr>
      <w:r>
        <w:rPr>
          <w:rFonts w:ascii="Times New Roman" w:hAnsi="Times New Roman"/>
          <w:b w:val="false"/>
          <w:i w:val="false"/>
          <w:color w:val="000000"/>
          <w:sz w:val="21"/>
        </w:rPr>
        <w:t>[Filed emergency 5/13/88—published 6/1/88, effective 7/1/88]</w:t>
      </w:r>
    </w:p>
    <w:p>
      <w:pPr>
        <w:spacing w:before="0" w:after="0"/>
        <w:ind w:left="120"/>
        <w:jc w:val="center"/>
      </w:pPr>
      <w:r>
        <w:rPr>
          <w:rFonts w:ascii="Times New Roman" w:hAnsi="Times New Roman"/>
          <w:b w:val="false"/>
          <w:i w:val="false"/>
          <w:color w:val="000000"/>
          <w:sz w:val="21"/>
        </w:rPr>
        <w:t>[Filed 12/22/89, Notice 6/14/89—published 1/10/90, effective 2/14/90]</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8733B</w:t>
      </w:r>
      <w:r>
        <w:rPr>
          <w:rFonts w:ascii="Times New Roman" w:hAnsi="Times New Roman"/>
          <w:b w:val="false"/>
          <w:i w:val="false"/>
          <w:color w:val="000000"/>
          <w:sz w:val="21"/>
        </w:rPr>
        <w:t xml:space="preserve"> (Notice ARC 8560B, IAB 3/10/10)</w:t>
      </w:r>
      <w:r>
        <w:rPr>
          <w:rFonts w:ascii="Times New Roman" w:hAnsi="Times New Roman"/>
          <w:b w:val="false"/>
          <w:i w:val="false"/>
          <w:color w:val="000000"/>
          <w:sz w:val="21"/>
        </w:rPr>
        <w:t>, IAB 5/5/10, effective 6/9/10]</w:t>
      </w:r>
    </w:p>
    <w:p>
      <w:pPr>
        <w:pBdr>
          <w:bottom w:space="2"/>
        </w:pBdr>
        <w:spacing w:before="0" w:after="0"/>
        <w:ind w:left="120"/>
        <w:jc w:val="both"/>
      </w:pPr>
      <w:r>
        <w:rPr>
          <w:rFonts w:ascii="Times New Roman" w:hAnsi="Times New Roman"/>
          <w:b w:val="false"/>
          <w:i w:val="false"/>
          <w:color w:val="000000"/>
          <w:sz w:val="22"/>
        </w:rPr>
        <w:t>Effective date of 161—11.17(2), 11.17(4) and 11.17(5) delayed 70 days by the Administrative Rules Review Committee at its meeting held March 9, 1993; delayed until adjournment of the 1994 Session of the General Assembly by this Committee May 11,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11.pdf" Type="http://schemas.openxmlformats.org/officeDocument/2006/relationships/hyperlink" Id="rId8"/>
    <Relationship TargetMode="External" Target="https://www.legis.iowa.gov/docs/ico/chapter/216.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ac/rule/161.11.4.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rule/161.11.3.pdf" Type="http://schemas.openxmlformats.org/officeDocument/2006/relationships/hyperlink" Id="rId17"/>
    <Relationship TargetMode="External" Target="https://www.legis.iowa.gov/docs/ico/chapter/22.8.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8.pdf" Type="http://schemas.openxmlformats.org/officeDocument/2006/relationships/hyperlink" Id="rId22"/>
    <Relationship TargetMode="External" Target="https://www.legis.iowa.gov/docs/iac/rule/161.11.10.pdf" Type="http://schemas.openxmlformats.org/officeDocument/2006/relationships/hyperlink" Id="rId23"/>
    <Relationship TargetMode="External" Target="https://www.legis.iowa.gov/docs/ico/chapter/2A.3.pdf" Type="http://schemas.openxmlformats.org/officeDocument/2006/relationships/hyperlink" Id="rId24"/>
    <Relationship TargetMode="External" Target="https://www.legis.iowa.gov/docs/ico/chapter/2C.9.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ac/rule/161.11.7.pdf" Type="http://schemas.openxmlformats.org/officeDocument/2006/relationships/hyperlink" Id="rId27"/>
    <Relationship TargetMode="External" Target="https://www.legis.iowa.gov/docs/ico/chapter/422.72.pdf" Type="http://schemas.openxmlformats.org/officeDocument/2006/relationships/hyperlink" Id="rId28"/>
    <Relationship TargetMode="External" Target="https://www.legis.iowa.gov/docs/ico/chapter/422.20.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1.5.pdf" Type="http://schemas.openxmlformats.org/officeDocument/2006/relationships/hyperlink" Id="rId31"/>
    <Relationship TargetMode="External" Target="https://www.legis.iowa.gov/docs/ico/chapter/17A.3.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216.15.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622.10.pdf" Type="http://schemas.openxmlformats.org/officeDocument/2006/relationships/hyperlink" Id="rId37"/>
    <Relationship TargetMode="External" Target="https://www.legis.iowa.gov/docs/ico/chapter/622.11.pdf" Type="http://schemas.openxmlformats.org/officeDocument/2006/relationships/hyperlink" Id="rId38"/>
    <Relationship TargetMode="External" Target="https://www.legis.iowa.gov/docs/ico/chapter/622.10.pdf" Type="http://schemas.openxmlformats.org/officeDocument/2006/relationships/hyperlink" Id="rId39"/>
    <Relationship TargetMode="External" Target="https://www.legis.iowa.gov/docs/ico/chapter/622.11.pdf" Type="http://schemas.openxmlformats.org/officeDocument/2006/relationships/hyperlink" Id="rId40"/>
    <Relationship TargetMode="External" Target="https://www.legis.iowa.gov/docs/ico/chapter/216.15.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ac/rule/161.11.4.pdf" Type="http://schemas.openxmlformats.org/officeDocument/2006/relationships/hyperlink" Id="rId43"/>
    <Relationship TargetMode="External" Target="https://www.legis.iowa.gov/docs/iac/rule/161.11.4.pdf" Type="http://schemas.openxmlformats.org/officeDocument/2006/relationships/hyperlink" Id="rId44"/>
    <Relationship TargetMode="External" Target="https://www.legis.iowa.gov/docs/iac/rule/161.11.1.pdf" Type="http://schemas.openxmlformats.org/officeDocument/2006/relationships/hyperlink" Id="rId45"/>
    <Relationship TargetMode="External" Target="https://www.legis.iowa.gov/docs/ico/chapter/216.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ac/rule/161.11.1.pdf" Type="http://schemas.openxmlformats.org/officeDocument/2006/relationships/hyperlink" Id="rId48"/>
    <Relationship TargetMode="External" Target="https://www.legis.iowa.gov/docs/ico/chapter/216.pdf" Type="http://schemas.openxmlformats.org/officeDocument/2006/relationships/hyperlink" Id="rId49"/>
    <Relationship TargetMode="External" Target="https://www.legis.iowa.gov/docs/ico/chapter/22.pdf" Type="http://schemas.openxmlformats.org/officeDocument/2006/relationships/hyperlink" Id="rId50"/>
    <Relationship TargetMode="External" Target="https://www.legis.iowa.gov/docs/ico/chapter/216.15.pdf" Type="http://schemas.openxmlformats.org/officeDocument/2006/relationships/hyperlink" Id="rId51"/>
    <Relationship TargetMode="External" Target="https://www.legis.iowa.gov/docs/iac/rule/161.2.1.pdf" Type="http://schemas.openxmlformats.org/officeDocument/2006/relationships/hyperlink" Id="rId52"/>
    <Relationship TargetMode="External" Target="https://www.legis.iowa.gov/docs/iac/rule/161.4.6.pdf" Type="http://schemas.openxmlformats.org/officeDocument/2006/relationships/hyperlink" Id="rId53"/>
    <Relationship TargetMode="External" Target="https://www.legis.iowa.gov/docs/ico/chapter/17A.13.pdf" Type="http://schemas.openxmlformats.org/officeDocument/2006/relationships/hyperlink" Id="rId54"/>
    <Relationship TargetMode="External" Target="https://www.legis.iowa.gov/docs/iac/rule/161.3.10.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