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 xml:space="preserve">PHYSICIAN SUPERVISION OF A PHYSICIAN ASSISTANT </w:t>
      </w:r>
      <w:r>
        <w:br/>
      </w:r>
      <w:r>
        <w:rPr>
          <w:rFonts w:ascii="Times New Roman" w:hAnsi="Times New Roman"/>
          <w:b w:val="false"/>
          <w:i w:val="false"/>
          <w:color w:val="000000"/>
          <w:sz w:val="21"/>
        </w:rPr>
        <w:t>PURSUANT TO IOWA CODE CHAPTER 148C</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653—21.1</w:t>
      </w:r>
      <w:r>
        <w:rPr>
          <w:rFonts w:ascii="Times New Roman" w:hAnsi="Times New Roman"/>
          <w:b/>
          <w:i w:val="false"/>
          <w:color w:val="000000"/>
          <w:sz w:val="22"/>
        </w:rPr>
        <w:t xml:space="preserve">(148,272C) </w:t>
      </w:r>
      <w:r>
        <w:rPr>
          <w:rFonts w:ascii="Times New Roman" w:hAnsi="Times New Roman"/>
          <w:b/>
          <w:i w:val="false"/>
          <w:color w:val="000000"/>
          <w:sz w:val="22"/>
        </w:rPr>
        <w:t xml:space="preserve">Ineligibility determinants. </w:t>
      </w:r>
      <w:r>
        <w:rPr>
          <w:rFonts w:ascii="Times New Roman" w:hAnsi="Times New Roman"/>
          <w:b w:val="false"/>
          <w:i w:val="false"/>
          <w:color w:val="000000"/>
          <w:sz w:val="22"/>
        </w:rPr>
        <w:t>A physician with an active permanent, special, or temporary Iowa license who is actively engaged in the practice of medicine in Iowa may supervise a physician assistant. A physician is ineligible to supervise a physician assistant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val="false"/>
          <w:color w:val="000000"/>
          <w:sz w:val="22"/>
        </w:rPr>
        <w:t>The physician does not hold an active, permanent, special or temporary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val="false"/>
          <w:color w:val="000000"/>
          <w:sz w:val="22"/>
        </w:rPr>
        <w:t>The physician is subject to a disciplinary order of the board that restricts or rescinds the physician’s authority to supervise a physician assistant. The physician may supervise a physician assistant to the extent that the order allows.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653—21.2</w:t>
      </w:r>
      <w:r>
        <w:rPr>
          <w:rFonts w:ascii="Times New Roman" w:hAnsi="Times New Roman"/>
          <w:b/>
          <w:i w:val="false"/>
          <w:color w:val="000000"/>
          <w:sz w:val="22"/>
        </w:rPr>
        <w:t xml:space="preserve">(148,272C) </w:t>
      </w:r>
      <w:r>
        <w:rPr>
          <w:rFonts w:ascii="Times New Roman" w:hAnsi="Times New Roman"/>
          <w:b/>
          <w:i w:val="false"/>
          <w:color w:val="000000"/>
          <w:sz w:val="22"/>
        </w:rPr>
        <w:t xml:space="preserve">Exemptions from this chapter. </w:t>
      </w:r>
      <w:r>
        <w:rPr>
          <w:rFonts w:ascii="Times New Roman" w:hAnsi="Times New Roman"/>
          <w:b w:val="false"/>
          <w:i w:val="false"/>
          <w:color w:val="000000"/>
          <w:sz w:val="22"/>
        </w:rPr>
        <w:t>This chapter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A physician working in a federal facility or under federal authority when the provisions of this chapter conflict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supervises a physician assistant providing medical care created by an emergency or a state or local disaster pursuant to Iowa Code section </w:t>
      </w:r>
      <w:hyperlink r:id="rId5">
        <w:r>
          <w:rPr>
            <w:rStyle w:val="Hyperlink"/>
            <w:rFonts w:ascii="Times New Roman" w:hAnsi="Times New Roman"/>
            <w:b w:val="false"/>
            <w:i w:val="false"/>
            <w:color w:val="000000"/>
            <w:sz w:val="22"/>
          </w:rPr>
          <w:t>148C.4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653—21.3</w:t>
      </w:r>
      <w:r>
        <w:rPr>
          <w:rFonts w:ascii="Times New Roman" w:hAnsi="Times New Roman"/>
          <w:b/>
          <w:i w:val="false"/>
          <w:color w:val="000000"/>
          <w:sz w:val="22"/>
        </w:rPr>
        <w:t xml:space="preserve">(148) </w:t>
      </w:r>
      <w:r>
        <w:rPr>
          <w:rFonts w:ascii="Times New Roman" w:hAnsi="Times New Roman"/>
          <w:b/>
          <w:i w:val="false"/>
          <w:color w:val="000000"/>
          <w:sz w:val="22"/>
        </w:rPr>
        <w:t xml:space="preserve">Board notification. </w:t>
      </w:r>
      <w:r>
        <w:rPr>
          <w:rFonts w:ascii="Times New Roman" w:hAnsi="Times New Roman"/>
          <w:b w:val="false"/>
          <w:i w:val="false"/>
          <w:color w:val="000000"/>
          <w:sz w:val="22"/>
        </w:rPr>
        <w:t>A physician who supervises a physician assistant shall notify the board of the supervisory relationship within 60 days of the provision of initial supervision and at the time of the physician’s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653—21.4</w:t>
      </w:r>
      <w:r>
        <w:rPr>
          <w:rFonts w:ascii="Times New Roman" w:hAnsi="Times New Roman"/>
          <w:b/>
          <w:i w:val="false"/>
          <w:color w:val="000000"/>
          <w:sz w:val="22"/>
        </w:rPr>
        <w:t xml:space="preserve">(148,272C) </w:t>
      </w:r>
      <w:r>
        <w:rPr>
          <w:rFonts w:ascii="Times New Roman" w:hAnsi="Times New Roman"/>
          <w:b/>
          <w:i w:val="false"/>
          <w:color w:val="000000"/>
          <w:sz w:val="22"/>
        </w:rPr>
        <w:t xml:space="preserve">Requirements for supervising. </w:t>
      </w:r>
      <w:r>
        <w:rPr>
          <w:rFonts w:ascii="Times New Roman" w:hAnsi="Times New Roman"/>
          <w:b w:val="false"/>
          <w:i w:val="false"/>
          <w:color w:val="000000"/>
          <w:sz w:val="22"/>
        </w:rPr>
        <w:t xml:space="preserve">More information regarding requirements for supervising can be found in rules </w:t>
      </w:r>
      <w:hyperlink r:id="rId6">
        <w:r>
          <w:rPr>
            <w:rStyle w:val="Hyperlink"/>
            <w:rFonts w:ascii="Times New Roman" w:hAnsi="Times New Roman"/>
            <w:b w:val="false"/>
            <w:i w:val="false"/>
            <w:color w:val="000000"/>
            <w:sz w:val="22"/>
          </w:rPr>
          <w:t>481—780.6</w:t>
        </w:r>
      </w:hyperlink>
      <w:r>
        <w:rPr>
          <w:rFonts w:ascii="Times New Roman" w:hAnsi="Times New Roman"/>
          <w:b w:val="false"/>
          <w:i w:val="false"/>
          <w:color w:val="000000"/>
          <w:sz w:val="22"/>
        </w:rPr>
        <w:t xml:space="preserve">(148C) and </w:t>
      </w:r>
      <w:hyperlink r:id="rId7">
        <w:r>
          <w:rPr>
            <w:rStyle w:val="Hyperlink"/>
            <w:rFonts w:ascii="Times New Roman" w:hAnsi="Times New Roman"/>
            <w:b w:val="false"/>
            <w:i w:val="false"/>
            <w:color w:val="000000"/>
            <w:sz w:val="22"/>
          </w:rPr>
          <w:t>481—780.8</w:t>
        </w:r>
      </w:hyperlink>
      <w:r>
        <w:rPr>
          <w:rFonts w:ascii="Times New Roman" w:hAnsi="Times New Roman"/>
          <w:b w:val="false"/>
          <w:i w:val="false"/>
          <w:color w:val="000000"/>
          <w:sz w:val="22"/>
        </w:rPr>
        <w:t>(148C).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653—21.5</w:t>
      </w:r>
      <w:r>
        <w:rPr>
          <w:rFonts w:ascii="Times New Roman" w:hAnsi="Times New Roman"/>
          <w:b/>
          <w:i w:val="false"/>
          <w:color w:val="000000"/>
          <w:sz w:val="22"/>
        </w:rPr>
        <w:t xml:space="preserve">(148,272C)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physician may be subject to disciplinary action for supervising a physician assistant in violation of these rules, </w:t>
      </w:r>
      <w:hyperlink r:id="rId8">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481—Chapter 780</w:t>
        </w:r>
      </w:hyperlink>
      <w:r>
        <w:rPr>
          <w:rFonts w:ascii="Times New Roman" w:hAnsi="Times New Roman"/>
          <w:b w:val="false"/>
          <w:i w:val="false"/>
          <w:color w:val="000000"/>
          <w:sz w:val="22"/>
        </w:rPr>
        <w:t>, which relate to duties and responsibilities for physician supervision of physician assistants. Grounds for discipline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The physician supervises a physician assistant when the physician does not have sufficient training or experience to supervise a physician assistant in the area of medical practice in which a physician assistant is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ensure that the physician assistant is adequately supervised, including being available in person or by telecommunication to respond to the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fails to adequately direct and supervise a physician assistant or fails to comply with the minimum standards of supervision in accordance with this chapter, </w:t>
      </w:r>
      <w:hyperlink r:id="rId10">
        <w:r>
          <w:rPr>
            <w:rStyle w:val="Hyperlink"/>
            <w:rFonts w:ascii="Times New Roman" w:hAnsi="Times New Roman"/>
            <w:b w:val="false"/>
            <w:i w:val="false"/>
            <w:color w:val="000000"/>
            <w:sz w:val="22"/>
          </w:rPr>
          <w:t>481—Chapters 780</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and Iowa Code chapters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653—21.6</w:t>
      </w:r>
      <w:r>
        <w:rPr>
          <w:rFonts w:ascii="Times New Roman" w:hAnsi="Times New Roman"/>
          <w:b/>
          <w:i w:val="false"/>
          <w:color w:val="000000"/>
          <w:sz w:val="22"/>
        </w:rPr>
        <w:t xml:space="preserve">(148,272C) </w:t>
      </w:r>
      <w:r>
        <w:rPr>
          <w:rFonts w:ascii="Times New Roman" w:hAnsi="Times New Roman"/>
          <w:b/>
          <w:i w:val="false"/>
          <w:color w:val="000000"/>
          <w:sz w:val="22"/>
        </w:rPr>
        <w:t xml:space="preserve">Disciplinary sanction. </w:t>
      </w:r>
      <w:r>
        <w:rPr>
          <w:rFonts w:ascii="Times New Roman" w:hAnsi="Times New Roman"/>
          <w:b w:val="false"/>
          <w:i w:val="false"/>
          <w:color w:val="000000"/>
          <w:sz w:val="22"/>
        </w:rPr>
        <w:t>The board may restrict or rescind a physician’s authority to supervise a physician assistant as part of a disciplinary sanction following a contested case proceeding if the reason for the disciplinary action impacts the ability of the physician to supervise a physician assistant. The board shall notify the board of physician assistants when it takes a disciplinary action against a physician’s license that affects the physician’s authority to supervise a physician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653—21.7</w:t>
      </w:r>
      <w:r>
        <w:rPr>
          <w:rFonts w:ascii="Times New Roman" w:hAnsi="Times New Roman"/>
          <w:b/>
          <w:i w:val="false"/>
          <w:color w:val="000000"/>
          <w:sz w:val="22"/>
        </w:rPr>
        <w:t xml:space="preserve">(148,272C) </w:t>
      </w:r>
      <w:r>
        <w:rPr>
          <w:rFonts w:ascii="Times New Roman" w:hAnsi="Times New Roman"/>
          <w:b/>
          <w:i w:val="false"/>
          <w:color w:val="000000"/>
          <w:sz w:val="22"/>
        </w:rPr>
        <w:t xml:space="preserve">Communication with physician assistant supervisees. </w:t>
      </w:r>
      <w:r>
        <w:rPr>
          <w:rFonts w:ascii="Times New Roman" w:hAnsi="Times New Roman"/>
          <w:b w:val="false"/>
          <w:i w:val="false"/>
          <w:color w:val="000000"/>
          <w:sz w:val="22"/>
        </w:rPr>
        <w:t>The physician shall notify all physician assistant supervisees within one workday upon receiving disciplinary action from the board or any other change in status that affects the physician’s eligibility to supervise a physician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section </w:t>
      </w:r>
      <w:hyperlink r:id="rId1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1/4/89, Notice 11/16/88—published 1/25/89, effective 3/1/89]</w:t>
      </w:r>
      <w:r>
        <w:rPr>
          <w:rFonts w:ascii="Times New Roman" w:hAnsi="Times New Roman"/>
          <w:b w:val="false"/>
          <w:i w:val="false"/>
          <w:color w:val="000000"/>
          <w:sz w:val="10"/>
        </w:rPr>
        <w:t>1</w:t>
      </w:r>
      <w:r>
        <w:rPr>
          <w:rFonts w:ascii="Times New Roman" w:hAnsi="Times New Roman"/>
          <w:b w:val="false"/>
          <w:i w:val="false"/>
          <w:color w:val="000000"/>
          <w:sz w:val="10"/>
        </w:rPr>
        <w:t>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8/31/89, Notice 5/31/89—published 9/20/89, effective 10/25/89]</w:t>
      </w:r>
    </w:p>
    <w:p>
      <w:pPr>
        <w:spacing w:before="0" w:after="0"/>
        <w:ind w:left="120"/>
        <w:jc w:val="center"/>
      </w:pPr>
      <w:r>
        <w:rPr>
          <w:rFonts w:ascii="Times New Roman" w:hAnsi="Times New Roman"/>
          <w:b w:val="false"/>
          <w:i w:val="false"/>
          <w:color w:val="000000"/>
          <w:sz w:val="21"/>
        </w:rPr>
        <w:t>[Filed 2/23/96, Notice 1/3/96—published 3/13/96, effective 4/17/96]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10/4/96—published 10/23/96, effective 10/4/96]</w:t>
      </w:r>
    </w:p>
    <w:p>
      <w:pPr>
        <w:spacing w:before="0" w:after="0"/>
        <w:ind w:left="120"/>
        <w:jc w:val="center"/>
      </w:pPr>
      <w:r>
        <w:rPr>
          <w:rFonts w:ascii="Times New Roman" w:hAnsi="Times New Roman"/>
          <w:b w:val="false"/>
          <w:i w:val="false"/>
          <w:color w:val="000000"/>
          <w:sz w:val="21"/>
        </w:rPr>
        <w:t>[Filed 9/29/00, Notice 8/23/00—published 10/18/00, effective 11/22/00]</w:t>
      </w:r>
    </w:p>
    <w:p>
      <w:pPr>
        <w:spacing w:before="0" w:after="0"/>
        <w:ind w:left="120"/>
        <w:jc w:val="center"/>
      </w:pPr>
      <w:r>
        <w:rPr>
          <w:rFonts w:ascii="Times New Roman" w:hAnsi="Times New Roman"/>
          <w:b w:val="false"/>
          <w:i w:val="false"/>
          <w:color w:val="000000"/>
          <w:sz w:val="21"/>
        </w:rPr>
        <w:t>[Filed 12/4/03, Notice 8/20/03—published 12/24/03, effective 1/28/04]</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3/9/04—published 3/31/04, effective 3/9/04]</w:t>
      </w:r>
    </w:p>
    <w:p>
      <w:pPr>
        <w:spacing w:before="0" w:after="0"/>
        <w:ind w:left="120"/>
        <w:jc w:val="center"/>
      </w:pPr>
      <w:r>
        <w:rPr>
          <w:rFonts w:ascii="Times New Roman" w:hAnsi="Times New Roman"/>
          <w:b w:val="false"/>
          <w:i w:val="false"/>
          <w:color w:val="000000"/>
          <w:sz w:val="21"/>
        </w:rPr>
        <w:t>[Filed ARC 0870C</w:t>
      </w:r>
      <w:r>
        <w:rPr>
          <w:rFonts w:ascii="Times New Roman" w:hAnsi="Times New Roman"/>
          <w:b w:val="false"/>
          <w:i w:val="false"/>
          <w:color w:val="000000"/>
          <w:sz w:val="21"/>
        </w:rPr>
        <w:t xml:space="preserve"> (Notice ARC 0692C, IAB 4/17/13)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2532C</w:t>
      </w:r>
      <w:r>
        <w:rPr>
          <w:rFonts w:ascii="Times New Roman" w:hAnsi="Times New Roman"/>
          <w:b w:val="false"/>
          <w:i w:val="false"/>
          <w:color w:val="000000"/>
          <w:sz w:val="21"/>
        </w:rPr>
        <w:t xml:space="preserve"> (Notice ARC 2372C, IAB 1/20/16)</w:t>
      </w:r>
      <w:r>
        <w:rPr>
          <w:rFonts w:ascii="Times New Roman" w:hAnsi="Times New Roman"/>
          <w:b w:val="false"/>
          <w:i w:val="false"/>
          <w:color w:val="000000"/>
          <w:sz w:val="21"/>
        </w:rPr>
        <w:t>, IAB 5/11/16, effective 6/15/16]</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ARC 3264C</w:t>
      </w:r>
      <w:r>
        <w:rPr>
          <w:rFonts w:ascii="Times New Roman" w:hAnsi="Times New Roman"/>
          <w:b w:val="false"/>
          <w:i w:val="false"/>
          <w:color w:val="000000"/>
          <w:sz w:val="21"/>
        </w:rPr>
        <w:t xml:space="preserve"> (Notice ARC 3069C, IAB 5/24/17)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4213C</w:t>
      </w:r>
      <w:r>
        <w:rPr>
          <w:rFonts w:ascii="Times New Roman" w:hAnsi="Times New Roman"/>
          <w:b w:val="false"/>
          <w:i w:val="false"/>
          <w:color w:val="000000"/>
          <w:sz w:val="21"/>
        </w:rPr>
        <w:t xml:space="preserve"> (Notice ARC 3992C, IAB 9/12/18)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5252C</w:t>
      </w:r>
      <w:r>
        <w:rPr>
          <w:rFonts w:ascii="Times New Roman" w:hAnsi="Times New Roman"/>
          <w:b w:val="false"/>
          <w:i w:val="false"/>
          <w:color w:val="000000"/>
          <w:sz w:val="21"/>
        </w:rPr>
        <w:t xml:space="preserve"> (Notice ARC 5133C,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9703C</w:t>
      </w:r>
      <w:r>
        <w:rPr>
          <w:rFonts w:ascii="Times New Roman" w:hAnsi="Times New Roman"/>
          <w:b w:val="false"/>
          <w:i w:val="false"/>
          <w:color w:val="000000"/>
          <w:sz w:val="21"/>
        </w:rPr>
        <w:t xml:space="preserve"> (Amended Notice ARC 9379C, IAB 6/25/25; </w:t>
      </w:r>
      <w:r>
        <w:rPr>
          <w:rFonts w:ascii="Times New Roman" w:hAnsi="Times New Roman"/>
          <w:b w:val="false"/>
          <w:i w:val="false"/>
          <w:color w:val="000000"/>
          <w:sz w:val="21"/>
        </w:rPr>
        <w:t>Notice ARC 9296C, IAB 5/28/25)</w:t>
      </w:r>
      <w:r>
        <w:rPr>
          <w:rFonts w:ascii="Times New Roman" w:hAnsi="Times New Roman"/>
          <w:b w:val="false"/>
          <w:i w:val="false"/>
          <w:color w:val="000000"/>
          <w:sz w:val="21"/>
        </w:rPr>
        <w:t>, IAB 11/12/25, effective 12/17/25]</w:t>
      </w:r>
    </w:p>
    <w:p>
      <w:pPr>
        <w:pBdr>
          <w:bottom w:space="2"/>
        </w:pBdr>
        <w:spacing w:before="0" w:after="0"/>
        <w:ind w:left="120"/>
        <w:jc w:val="both"/>
      </w:pPr>
      <w:r>
        <w:rPr>
          <w:rFonts w:ascii="Times New Roman" w:hAnsi="Times New Roman"/>
          <w:b w:val="false"/>
          <w:i w:val="false"/>
          <w:color w:val="000000"/>
          <w:sz w:val="22"/>
        </w:rPr>
        <w:t>Effective date of 3/1/89 delayed 70 days by Administrative Rules Review Committee at its February 13, 1989, meeting.</w:t>
      </w:r>
    </w:p>
    <w:p>
      <w:pPr>
        <w:pBdr>
          <w:bottom w:space="2"/>
        </w:pBdr>
        <w:spacing w:before="0" w:after="0"/>
        <w:ind w:left="120"/>
        <w:jc w:val="both"/>
      </w:pPr>
      <w:r>
        <w:rPr>
          <w:rFonts w:ascii="Times New Roman" w:hAnsi="Times New Roman"/>
          <w:b w:val="false"/>
          <w:i w:val="false"/>
          <w:color w:val="000000"/>
          <w:sz w:val="22"/>
        </w:rPr>
        <w:t>Effective date of 3/1/89 delayed until adjournment of the 1990 Session of the General Assembly at its May 9, 1989, meeting.</w:t>
      </w:r>
    </w:p>
    <w:p>
      <w:pPr>
        <w:pBdr>
          <w:bottom w:space="2"/>
        </w:pBdr>
        <w:spacing w:before="0" w:after="0"/>
        <w:ind w:left="120"/>
        <w:jc w:val="both"/>
      </w:pPr>
      <w:r>
        <w:rPr>
          <w:rFonts w:ascii="Times New Roman" w:hAnsi="Times New Roman"/>
          <w:b w:val="false"/>
          <w:i w:val="false"/>
          <w:color w:val="000000"/>
          <w:sz w:val="22"/>
        </w:rPr>
        <w:t>Delay until adjournment of the 1990 G.A. lifted by the Administrative Rules Review Committee at its August 3, 1989, meeting which allowed the rules to become effective August 4, 1989.</w:t>
      </w:r>
    </w:p>
    <w:p>
      <w:pPr>
        <w:pBdr>
          <w:bottom w:space="2"/>
        </w:pBdr>
        <w:spacing w:before="0" w:after="0"/>
        <w:ind w:left="120"/>
        <w:jc w:val="both"/>
      </w:pPr>
      <w:r>
        <w:rPr>
          <w:rFonts w:ascii="Times New Roman" w:hAnsi="Times New Roman"/>
          <w:b w:val="false"/>
          <w:i w:val="false"/>
          <w:color w:val="000000"/>
          <w:sz w:val="22"/>
        </w:rPr>
        <w:t>Effective date of 4/17/96 delayed 70 days by the Administrative Rules Review Committee at its meeting held April 16, 1996. Effective date delayed until adjournment of the 1997 General Assembly by the Administrative Rules Review Committee at its meeting held June 11, 1996.</w:t>
      </w:r>
    </w:p>
    <w:p>
      <w:pPr>
        <w:pBdr>
          <w:bottom w:space="2"/>
        </w:pBdr>
        <w:spacing w:before="0" w:after="0"/>
        <w:ind w:left="120"/>
        <w:jc w:val="both"/>
      </w:pPr>
      <w:r>
        <w:rPr>
          <w:rFonts w:ascii="Times New Roman" w:hAnsi="Times New Roman"/>
          <w:b w:val="false"/>
          <w:i w:val="false"/>
          <w:color w:val="000000"/>
          <w:sz w:val="22"/>
        </w:rPr>
        <w:t>Effective date of 1/28/04 delayed 70 days by the Administrative Rules Review Committee at its January 6, 2004, meeting; at its meeting held March 8, 2004, the Committee lifted the delay, effective March 9, 2004.</w:t>
      </w:r>
    </w:p>
    <w:p>
      <w:pPr>
        <w:pBdr>
          <w:bottom w:space="2"/>
        </w:pBdr>
        <w:spacing w:before="0" w:after="0"/>
        <w:ind w:left="120"/>
        <w:jc w:val="both"/>
      </w:pPr>
      <w:r>
        <w:rPr>
          <w:rFonts w:ascii="Times New Roman" w:hAnsi="Times New Roman"/>
          <w:b w:val="false"/>
          <w:i w:val="false"/>
          <w:color w:val="000000"/>
          <w:sz w:val="22"/>
        </w:rPr>
        <w:t xml:space="preserve">Amendments to ch 21 in ARC 2532C, which included the renumbering of 21.4 to 21.7 as 21.5 to 21.8 (Item 1), the adoption of new 21.4 (Item 2), and the amendment to the implementation sentence (Item 3), rescinded by </w:t>
      </w:r>
      <w:r>
        <w:rPr>
          <w:rFonts w:ascii="Times New Roman" w:hAnsi="Times New Roman"/>
          <w:b w:val="false"/>
          <w:i w:val="false"/>
          <w:color w:val="000000"/>
          <w:sz w:val="22"/>
        </w:rPr>
        <w:t>2017 Iowa Acts, House File 591, section 2</w:t>
      </w:r>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on 4/12/17 and,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prior language restored IAC Supplement 5/10/17.</w:t>
      </w:r>
    </w:p>
    <w:sectPr>
      <w:footerReference r:id="rId1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4.pdf" Type="http://schemas.openxmlformats.org/officeDocument/2006/relationships/hyperlink" Id="rId5"/>
    <Relationship TargetMode="External" Target="https://www.legis.iowa.gov/docs/iac/rule/481.780.6.pdf" Type="http://schemas.openxmlformats.org/officeDocument/2006/relationships/hyperlink" Id="rId6"/>
    <Relationship TargetMode="External" Target="https://www.legis.iowa.gov/docs/iac/rule/481.780.8.pdf" Type="http://schemas.openxmlformats.org/officeDocument/2006/relationships/hyperlink" Id="rId7"/>
    <Relationship TargetMode="External" Target="https://www.legis.iowa.gov/docs/iac/chapter/481.661.pdf" Type="http://schemas.openxmlformats.org/officeDocument/2006/relationships/hyperlink" Id="rId8"/>
    <Relationship TargetMode="External" Target="https://www.legis.iowa.gov/docs/iac/chapter/481.780.pdf" Type="http://schemas.openxmlformats.org/officeDocument/2006/relationships/hyperlink" Id="rId9"/>
    <Relationship TargetMode="External" Target="https://www.legis.iowa.gov/docs/iac/chapter/481.780.pdf" Type="http://schemas.openxmlformats.org/officeDocument/2006/relationships/hyperlink" Id="rId10"/>
    <Relationship TargetMode="External" Target="https://www.legis.iowa.gov/docs/iac/chapter/481.784.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272C.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