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EMPLOYER RECORDS AND REPORTS</w:t>
      </w:r>
    </w:p>
    <w:p>
      <w:pPr>
        <w:spacing w:before="0" w:after="0"/>
        <w:ind w:left="120"/>
        <w:jc w:val="center"/>
      </w:pPr>
      <w:r>
        <w:rPr>
          <w:rFonts w:ascii="Times New Roman" w:hAnsi="Times New Roman"/>
          <w:b w:val="false"/>
          <w:i w:val="false"/>
          <w:color w:val="000000"/>
          <w:sz w:val="14"/>
        </w:rPr>
        <w:t>[Prior to 9/24/86, Employment Security [370] Ch 2]</w:t>
      </w:r>
    </w:p>
    <w:p>
      <w:pPr>
        <w:spacing w:before="0" w:after="0"/>
        <w:ind w:left="120"/>
        <w:jc w:val="center"/>
      </w:pPr>
      <w:r>
        <w:rPr>
          <w:rFonts w:ascii="Times New Roman" w:hAnsi="Times New Roman"/>
          <w:b w:val="false"/>
          <w:i w:val="false"/>
          <w:color w:val="000000"/>
          <w:sz w:val="14"/>
        </w:rPr>
        <w:t>[Prior to 3/12/97, Job Service Division [345] Ch 2]</w:t>
      </w:r>
    </w:p>
    <w:p>
      <w:pPr>
        <w:spacing w:before="0" w:after="0"/>
        <w:ind w:left="120"/>
        <w:jc w:val="both"/>
      </w:pPr>
      <w:r>
        <w:rPr>
          <w:rFonts w:ascii="Times New Roman" w:hAnsi="Times New Roman"/>
          <w:b/>
          <w:i w:val="false"/>
          <w:color w:val="000000"/>
          <w:sz w:val="22"/>
        </w:rPr>
        <w:t>871—22.1</w:t>
      </w:r>
      <w:r>
        <w:rPr>
          <w:rFonts w:ascii="Times New Roman" w:hAnsi="Times New Roman"/>
          <w:b/>
          <w:i w:val="false"/>
          <w:color w:val="000000"/>
          <w:sz w:val="22"/>
        </w:rPr>
        <w:t xml:space="preserve">(96) </w:t>
      </w:r>
      <w:r>
        <w:rPr>
          <w:rFonts w:ascii="Times New Roman" w:hAnsi="Times New Roman"/>
          <w:b/>
          <w:i w:val="false"/>
          <w:color w:val="000000"/>
          <w:sz w:val="22"/>
        </w:rPr>
        <w:t xml:space="preserve">Records to be kept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employing unit shall maintain, for a period of five years after the calendar year in which the remuneration to which they relate was paid or, if not paid, was due, records evidencing remuneration made by the employing unit and reportable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val="false"/>
          <w:color w:val="000000"/>
          <w:sz w:val="22"/>
        </w:rPr>
        <w:t>Such records shall show with respect to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on which the employee was hired, was rehired, or returned to work after a temporary layoff and the date on which the employee was separated from work and the reason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Scheduled hours, except for workers without a fixed schedule of hours, such as those working outside of the employer’s establishment in such a manner that the employer has no definite knowledge of their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wages paid for employment in each period and the date of payment. For all pay periods ending in each quarter, the records must show separately the following: money wages; the cash value of other remuneration, including wages in lieu of notice, bonuses, gifts, and prizes; the nature of payments such as accounts paid to employees as allowance or reimbursement for traveling and other business expenses; and the amounts of such expenditures actually incurred and accounted for by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or states, and the name of the Iowa county, if applicable, in which the services are performed. If any of such services are performed outside of this state, employers are subject to </w:t>
      </w:r>
      <w:hyperlink r:id="rId4">
        <w:r>
          <w:rPr>
            <w:rStyle w:val="Hyperlink"/>
            <w:rFonts w:ascii="Times New Roman" w:hAnsi="Times New Roman"/>
            <w:b w:val="false"/>
            <w:i w:val="false"/>
            <w:color w:val="000000"/>
            <w:sz w:val="22"/>
          </w:rPr>
          <w:t>871—subrule 23.24(1)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pay period covers services performed both in covered employment and in excluded work, the hours and wages for covered employment under the Iowa employment security law, hereinafter referred to as the “Act,” and hours and wages for excluded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physical worksite at which each employee worked during each pay period that includes the twelfth of each month. If an employee worked at more than one worksite, the worksite at which the majority of the work was performed should be the one 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val="false"/>
          <w:color w:val="000000"/>
          <w:sz w:val="22"/>
        </w:rPr>
        <w:t>Such payroll records may be preserved by the employer in an electronic format, provided the employer is willing to provide access to such records as may be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w:t>
      </w:r>
      <w:r>
        <w:rPr>
          <w:rFonts w:ascii="Times New Roman" w:hAnsi="Times New Roman"/>
          <w:b w:val="false"/>
          <w:i w:val="false"/>
          <w:color w:val="000000"/>
          <w:sz w:val="22"/>
        </w:rPr>
        <w:t> </w:t>
      </w:r>
      <w:r>
        <w:rPr>
          <w:rFonts w:ascii="Times New Roman" w:hAnsi="Times New Roman"/>
          <w:b w:val="false"/>
          <w:i w:val="false"/>
          <w:color w:val="000000"/>
          <w:sz w:val="22"/>
        </w:rPr>
        <w:t>Any employing unit having its principal place of business outside of Iowa shall maintain payroll records in this state with respect to wages paid to employees who perform some service in this state. An out-of-state employing unit may, with the approval of the department, maintain such payroll records outside the state if the employing unit agrees to furnish the department with a true and correct copy of such payroll records upon request. The department may make estimated reports and payroll listings upon an out-of-state employing unit’s failure to maintain said records in Iowa as required.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96.11(6)</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871—22.2</w:t>
      </w:r>
      <w:r>
        <w:rPr>
          <w:rFonts w:ascii="Times New Roman" w:hAnsi="Times New Roman"/>
          <w:b/>
          <w:i w:val="false"/>
          <w:color w:val="000000"/>
          <w:sz w:val="22"/>
        </w:rPr>
        <w:t xml:space="preserve">(96) </w:t>
      </w:r>
      <w:r>
        <w:rPr>
          <w:rFonts w:ascii="Times New Roman" w:hAnsi="Times New Roman"/>
          <w:b/>
          <w:i w:val="false"/>
          <w:color w:val="000000"/>
          <w:sz w:val="22"/>
        </w:rPr>
        <w:t xml:space="preserve">Reports. </w:t>
      </w:r>
      <w:r>
        <w:rPr>
          <w:rFonts w:ascii="Times New Roman" w:hAnsi="Times New Roman"/>
          <w:b w:val="false"/>
          <w:i w:val="false"/>
          <w:color w:val="000000"/>
          <w:sz w:val="22"/>
        </w:rPr>
        <w:t xml:space="preserve">Each employing unit shall comply with the instructions issued by the department pertaining to the preparation and filing of reports.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871—22.3</w:t>
      </w:r>
      <w:r>
        <w:rPr>
          <w:rFonts w:ascii="Times New Roman" w:hAnsi="Times New Roman"/>
          <w:b/>
          <w:i w:val="false"/>
          <w:color w:val="000000"/>
          <w:sz w:val="22"/>
        </w:rPr>
        <w:t xml:space="preserve">(96) </w:t>
      </w:r>
      <w:r>
        <w:rPr>
          <w:rFonts w:ascii="Times New Roman" w:hAnsi="Times New Roman"/>
          <w:b/>
          <w:i w:val="false"/>
          <w:color w:val="000000"/>
          <w:sz w:val="22"/>
        </w:rPr>
        <w:t xml:space="preserve">Filing employer’s contribution and payroll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Each employer shall, by the due date, electronically submit contribution and payroll for each quarter listing wages paid with respect to all the employer’s business maintained within this state computed in accordance with the Iowa Code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A copy of each such report shall be preserved by each such employer for a period of at least five years from the end of the calendar year in which the report was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Every qualified or subject employer is required to file contribution and payroll each quarter, even if an employer finds that for some particular quarter no contributions are due or the employer has no employees during the period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val="false"/>
          <w:color w:val="000000"/>
          <w:sz w:val="22"/>
        </w:rPr>
        <w:t>Combined reports, leased employees, and concurrently employed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Consolidated or combined reports of parent and subsidiary corporations or other employing units, whether or not the employing units are related,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of parent and subsidiary corporations or other employing units, whether or not they are related, shall be reported on the quarterly reports of the employing unit for which the services are performed regardless of which employing unit actually issues the employees’ paychecks.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Leased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subparagraphs </w:t>
      </w:r>
      <w:hyperlink r:id="rId7">
        <w:r>
          <w:rPr>
            <w:rStyle w:val="Hyperlink"/>
            <w:rFonts w:ascii="Times New Roman" w:hAnsi="Times New Roman"/>
            <w:b w:val="false"/>
            <w:i w:val="false"/>
            <w:color w:val="000000"/>
            <w:sz w:val="22"/>
          </w:rPr>
          <w:t>22.3(4)</w:t>
        </w:r>
      </w:hyperlink>
      <w:r>
        <w:rPr>
          <w:rFonts w:ascii="Times New Roman" w:hAnsi="Times New Roman"/>
          <w:b w:val="false"/>
          <w:i/>
          <w:color w:val="000000"/>
          <w:sz w:val="22"/>
        </w:rPr>
        <w:t>“c”</w:t>
      </w:r>
      <w:r>
        <w:rPr>
          <w:rFonts w:ascii="Times New Roman" w:hAnsi="Times New Roman"/>
          <w:b w:val="false"/>
          <w:i w:val="false"/>
          <w:color w:val="000000"/>
          <w:sz w:val="22"/>
        </w:rPr>
        <w:t xml:space="preserve">(2) through </w:t>
      </w:r>
      <w:hyperlink r:id="rId8">
        <w:r>
          <w:rPr>
            <w:rStyle w:val="Hyperlink"/>
            <w:rFonts w:ascii="Times New Roman" w:hAnsi="Times New Roman"/>
            <w:b w:val="false"/>
            <w:i w:val="false"/>
            <w:color w:val="000000"/>
            <w:sz w:val="22"/>
          </w:rPr>
          <w:t>22.3(4)</w:t>
        </w:r>
      </w:hyperlink>
      <w:r>
        <w:rPr>
          <w:rFonts w:ascii="Times New Roman" w:hAnsi="Times New Roman"/>
          <w:b w:val="false"/>
          <w:i/>
          <w:color w:val="000000"/>
          <w:sz w:val="22"/>
        </w:rPr>
        <w:t>“c”</w:t>
      </w:r>
      <w:r>
        <w:rPr>
          <w:rFonts w:ascii="Times New Roman" w:hAnsi="Times New Roman"/>
          <w:b w:val="false"/>
          <w:i w:val="false"/>
          <w:color w:val="000000"/>
          <w:sz w:val="22"/>
        </w:rPr>
        <w:t>(5), individuals leased from an employee leasing company, by the client of the employee leasing company, shall be considered to be employed by the client and shall be reported on the quarterly reports of the client, at the contribution rate of the client, unless and until it is shown to the satisfaction of the department that the individuals are and will continue to be under the exclusive direction and control of the employee leasing company, both under a written contract and in fact.</w:t>
      </w:r>
    </w:p>
    <w:p>
      <w:pPr>
        <w:spacing w:before="0" w:after="0"/>
        <w:ind w:left="120"/>
        <w:jc w:val="both"/>
      </w:pPr>
      <w:r>
        <w:rPr>
          <w:rFonts w:ascii="Times New Roman" w:hAnsi="Times New Roman"/>
          <w:b w:val="false"/>
          <w:i w:val="false"/>
          <w:color w:val="000000"/>
          <w:sz w:val="22"/>
        </w:rPr>
        <w:t>In order for a contract to be considered evidence that individuals are the employees of the employee leasing company, the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service to be performed by the individuals, on behalf of the employee leasing company,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fee the client must pay for this service. The fee must be large enough to cover the actual cost of the individuals’ wages and fringe benefits plus provide a reasonable profit on the service performed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that the employee leasing company has the exclusive right to determine the number of individuals needed to provide the service for the client and to direct and control the individuals in the performance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that the employee leasing company has the exclusive right to hire, fire, discipline, and reassign any of the individuals to another position or to another client without the consent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individual is leased to fill a temporary need from a company whose business is primarily to provide workers to fill temporary needs, the individual shall be considered to be the employee of the leasing company as long as a written contract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individual is a truck driver leased from a company that leases truck tractors with drivers to trucking companies, the individual shall be considered to be the employee of the leasing company unless and until it is shown to the satisfaction of the department that the trucking company has the exclusive right to hire, fire, discipline, reassign, and direct and control the services performed by the individual, both under a written contract and in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an individual leased from an employee leasing company is a corporate officer of the client, the individual shall always be considered the employee of the client and not the employee of the leasing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leased from an employee leasing company holds an exempt relationship, as described in Iowa Code section </w:t>
      </w:r>
      <w:hyperlink r:id="rId9">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 xml:space="preserve"> with the client, the individual shall not be considered to be an employee of either the client or the leasing company unless an election to cover the individual has been filed and approved in accordance with Iowa Code section </w:t>
      </w:r>
      <w:hyperlink r:id="rId10">
        <w:r>
          <w:rPr>
            <w:rStyle w:val="Hyperlink"/>
            <w:rFonts w:ascii="Times New Roman" w:hAnsi="Times New Roman"/>
            <w:b w:val="false"/>
            <w:i w:val="false"/>
            <w:color w:val="000000"/>
            <w:sz w:val="22"/>
          </w:rPr>
          <w:t>96.8(3)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Concurrently employed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subparagraph </w:t>
      </w:r>
      <w:hyperlink r:id="rId11">
        <w:r>
          <w:rPr>
            <w:rStyle w:val="Hyperlink"/>
            <w:rFonts w:ascii="Times New Roman" w:hAnsi="Times New Roman"/>
            <w:b w:val="false"/>
            <w:i w:val="false"/>
            <w:color w:val="000000"/>
            <w:sz w:val="22"/>
          </w:rPr>
          <w:t>22.3(4)</w:t>
        </w:r>
      </w:hyperlink>
      <w:r>
        <w:rPr>
          <w:rFonts w:ascii="Times New Roman" w:hAnsi="Times New Roman"/>
          <w:b w:val="false"/>
          <w:i/>
          <w:color w:val="000000"/>
          <w:sz w:val="22"/>
        </w:rPr>
        <w:t>“d”</w:t>
      </w:r>
      <w:r>
        <w:rPr>
          <w:rFonts w:ascii="Times New Roman" w:hAnsi="Times New Roman"/>
          <w:b w:val="false"/>
          <w:i w:val="false"/>
          <w:color w:val="000000"/>
          <w:sz w:val="22"/>
        </w:rPr>
        <w:t>(2), individuals who perform services concurrently for more than one employing unit, whether or not the employing units are related, shall be considered as working for each of the employing units and shall be reported on the quarterly reports of each of the employing units. Each of the employing units shall be required to pay contributions on the wages attributable to that employing unit up to the taxable wage base limit for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who concurrently performs services as a corporate officer for two or more related corporations and who is paid through a common paymaster that is one of the related corporations may be treated as working for only the common paymaster at the discretion of the related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22.3(5)</w:t>
      </w:r>
      <w:r>
        <w:rPr>
          <w:rFonts w:ascii="Times New Roman" w:hAnsi="Times New Roman"/>
          <w:b w:val="false"/>
          <w:i w:val="false"/>
          <w:color w:val="000000"/>
          <w:sz w:val="22"/>
        </w:rPr>
        <w:t> </w:t>
      </w:r>
      <w:r>
        <w:rPr>
          <w:rFonts w:ascii="Times New Roman" w:hAnsi="Times New Roman"/>
          <w:b w:val="false"/>
          <w:i w:val="false"/>
          <w:color w:val="000000"/>
          <w:sz w:val="22"/>
        </w:rPr>
        <w:t>The employer’s contribution and payroll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of, name (last name first) of, and total wages paid to each employee during the calendar quarter. All corrections to previous reports must be submitted electronically. All employees’ wages will be reported by the reporting unit under which the work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Wages paid. The electronic system will calculate the taxable wages for each employee, contribution, interest, and penalty due for the calendar quarter and provide the employer with the sum of the total and taxable wages paid to all employees during the calendar quarter. If the employer is claiming taxable wages reported to another state, the amount claimed and the state that the wages were reported to will be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extraordinary pay that was paid to the employees during the calendar quarter for each reporting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number of employees who were paid wages during the pay periods that include the twelfth day of each month of the calendar quarter for each reporting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the county in which the reporting unit is located if only one business activity is conducted at only one worksite during the calendar quarter; however, if the same business activity is conducted at more than one worksite or if different business activities are conducted at one or more worksites, the employer shall include for each worksite the total number of employees paid wages during the pay periods that include the twelfth day of each month of the calendar quarter and the total wages paid during the calendar quarter. The system will compute and enter taxable wages.</w:t>
      </w:r>
    </w:p>
    <w:p>
      <w:pPr>
        <w:spacing w:before="0" w:after="0"/>
        <w:ind w:left="120"/>
        <w:jc w:val="both"/>
      </w:pPr>
      <w:r>
        <w:rPr>
          <w:rFonts w:ascii="Times New Roman" w:hAnsi="Times New Roman"/>
          <w:b w:val="false"/>
          <w:i w:val="false"/>
          <w:color w:val="000000"/>
          <w:sz w:val="22"/>
        </w:rPr>
        <w:t>The total number of employees paid wages during the pay periods that include the twelfth day of each month of the calendar quarter for all worksites should equal the total number of employees reported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reason for the increase or decrease in total employment during the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electronic signature of the owner, responsible officer, or authorized agent of the employer certifying that the information given is true and correct to the best of the signer’s knowledge and belief; the date the report was submitted; and the telephone number of the 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Such other schedules or reports as may be required, duly completed in all substantial respects on such forms and in accordance with instructions provided or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amount of net remittance due. If the amount of net remittance due is less than $1, the employer need not submit payment. The system will compute and enter the net remittance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total number of employees on the report, which will be computed and entered by the system.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96.11(11)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871—22.4</w:t>
      </w:r>
      <w:r>
        <w:rPr>
          <w:rFonts w:ascii="Times New Roman" w:hAnsi="Times New Roman"/>
          <w:b/>
          <w:i w:val="false"/>
          <w:color w:val="000000"/>
          <w:sz w:val="22"/>
        </w:rPr>
        <w:t xml:space="preserve">(96) </w:t>
      </w:r>
      <w:r>
        <w:rPr>
          <w:rFonts w:ascii="Times New Roman" w:hAnsi="Times New Roman"/>
          <w:b/>
          <w:i w:val="false"/>
          <w:color w:val="000000"/>
          <w:sz w:val="22"/>
        </w:rPr>
        <w:t xml:space="preserve">Reporting of earnings data by secure file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An employer, agent, or third-party administrator may submit an electronic file. Authorization for this reporting method will be given if the submitting party meets the department’s technical specifications, which will be furnished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The electronic file submitted must contain, for each reporting unit, all of the required employer information, wage information, and labor market information. Adjustments to prior submitted reports should be submitted electronically via the system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The director shall annually designate the number of wage lines per report that will require the report to be filed electronically.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96.11(6)</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871—22.5</w:t>
      </w:r>
      <w:r>
        <w:rPr>
          <w:rFonts w:ascii="Times New Roman" w:hAnsi="Times New Roman"/>
          <w:b/>
          <w:i w:val="false"/>
          <w:color w:val="000000"/>
          <w:sz w:val="22"/>
        </w:rPr>
        <w:t xml:space="preserve">(96) </w:t>
      </w:r>
      <w:r>
        <w:rPr>
          <w:rFonts w:ascii="Times New Roman" w:hAnsi="Times New Roman"/>
          <w:b/>
          <w:i w:val="false"/>
          <w:color w:val="000000"/>
          <w:sz w:val="22"/>
        </w:rPr>
        <w:t xml:space="preserve">Filing of quarterly contribution and payroll by newly subject or covered employers. </w:t>
      </w:r>
      <w:r>
        <w:rPr>
          <w:rFonts w:ascii="Times New Roman" w:hAnsi="Times New Roman"/>
          <w:b w:val="false"/>
          <w:i w:val="false"/>
          <w:color w:val="000000"/>
          <w:sz w:val="22"/>
        </w:rPr>
        <w:t xml:space="preserve">Any employing unit that becomes an employer subject to this chapter within any calendar quarter other than by a voluntary election of the employing unit shall file contribution and payroll for each calendar quarter. Payroll includes all wages paid during the current quarter as well as separate quarterly reports for wages paid in prior quarters of the same calendar year. The first quarterly reports are due on the last day of the calendar month following the close of the calendar quarter in which the employing unit becomes subject to the Act. Any employer filing a voluntary election for coverage must begin filing reports in the quarter the employer’s election is effective.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96.8(3)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96.14(1)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871—22.6</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 changing status, address or name required to file report. </w:t>
      </w:r>
      <w:r>
        <w:rPr>
          <w:rFonts w:ascii="Times New Roman" w:hAnsi="Times New Roman"/>
          <w:b w:val="false"/>
          <w:i w:val="false"/>
          <w:color w:val="000000"/>
          <w:sz w:val="22"/>
        </w:rPr>
        <w:t xml:space="preserve">Any employer that terminates business for any reason whatsoever; transfers or sells all or a substantial part of the assets of the organization, trade or business to another; or changes the trade name of such business or address thereof shall, within ten days, provide electronic notification to the department of such change, including the former name and address of the business; the new name, telephone number, and address; the name of any new owner; and the employer’s own name, telephone number, and present address.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96.8(4)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871—22.7</w:t>
      </w:r>
      <w:r>
        <w:rPr>
          <w:rFonts w:ascii="Times New Roman" w:hAnsi="Times New Roman"/>
          <w:b/>
          <w:i w:val="false"/>
          <w:color w:val="000000"/>
          <w:sz w:val="22"/>
        </w:rPr>
        <w:t xml:space="preserve">(96) </w:t>
      </w:r>
      <w:r>
        <w:rPr>
          <w:rFonts w:ascii="Times New Roman" w:hAnsi="Times New Roman"/>
          <w:b/>
          <w:i w:val="false"/>
          <w:color w:val="000000"/>
          <w:sz w:val="22"/>
        </w:rPr>
        <w:t xml:space="preserve">Exempt employing units and exempt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and the employing unit having workers performing services for the unit who the unit considers exempt from this Act may file, Form 68-0192, Questionnaire for Determining Status of Workers, along with supporting exhibits and documents to enable the department to determine whether an exemption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val="false"/>
          <w:color w:val="000000"/>
          <w:sz w:val="22"/>
        </w:rPr>
        <w:t>Any employing unit exempt under this Act or for whom certain employment performed is not subject to contributions shall immediately notify the department of any changes that may impact the exemption, including the character of its organization, the purposes and manner of its operation, or the changed manner in which employment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val="false"/>
          <w:color w:val="000000"/>
          <w:sz w:val="22"/>
        </w:rPr>
        <w:t>The burden is on the employer to prove the exemption claimed.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871—22.8</w:t>
      </w:r>
      <w:r>
        <w:rPr>
          <w:rFonts w:ascii="Times New Roman" w:hAnsi="Times New Roman"/>
          <w:b/>
          <w:i w:val="false"/>
          <w:color w:val="000000"/>
          <w:sz w:val="22"/>
        </w:rPr>
        <w:t xml:space="preserve">(96) </w:t>
      </w:r>
      <w:r>
        <w:rPr>
          <w:rFonts w:ascii="Times New Roman" w:hAnsi="Times New Roman"/>
          <w:b/>
          <w:i w:val="false"/>
          <w:color w:val="000000"/>
          <w:sz w:val="22"/>
        </w:rPr>
        <w:t xml:space="preserve">Subject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Whenever an employing unit is in doubt as to whether or not an individual is an employee or is engaged in employment subject to the Act, the department may request and the employing unit shall submit Form 68-0192, Questionnaire for Determining Status of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separate account for each employer and notify the employer of any status change. This notice will advise the employer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subjectivity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assigned industry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section of the law under which the employer was found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federal identification number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workforce development unemployment insurance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contribution rate for that year and preceding four years,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account was new, reestablished or inactive.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an employer liability determination may be perfected according to rules </w:t>
      </w:r>
      <w:hyperlink r:id="rId24">
        <w:r>
          <w:rPr>
            <w:rStyle w:val="Hyperlink"/>
            <w:rFonts w:ascii="Times New Roman" w:hAnsi="Times New Roman"/>
            <w:b w:val="false"/>
            <w:i w:val="false"/>
            <w:color w:val="000000"/>
            <w:sz w:val="22"/>
          </w:rPr>
          <w:t>871—23.52</w:t>
        </w:r>
      </w:hyperlink>
      <w:r>
        <w:rPr>
          <w:rFonts w:ascii="Times New Roman" w:hAnsi="Times New Roman"/>
          <w:b w:val="false"/>
          <w:i w:val="false"/>
          <w:color w:val="000000"/>
          <w:sz w:val="22"/>
        </w:rPr>
        <w:t xml:space="preserve">(96) through </w:t>
      </w:r>
      <w:hyperlink r:id="rId25">
        <w:r>
          <w:rPr>
            <w:rStyle w:val="Hyperlink"/>
            <w:rFonts w:ascii="Times New Roman" w:hAnsi="Times New Roman"/>
            <w:b w:val="false"/>
            <w:i w:val="false"/>
            <w:color w:val="000000"/>
            <w:sz w:val="22"/>
          </w:rPr>
          <w:t>871—23.56</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96.7(4)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871—22.9</w:t>
      </w:r>
      <w:r>
        <w:rPr>
          <w:rFonts w:ascii="Times New Roman" w:hAnsi="Times New Roman"/>
          <w:b/>
          <w:i w:val="false"/>
          <w:color w:val="000000"/>
          <w:sz w:val="22"/>
        </w:rPr>
        <w:t xml:space="preserve">(96) </w:t>
      </w:r>
      <w:r>
        <w:rPr>
          <w:rFonts w:ascii="Times New Roman" w:hAnsi="Times New Roman"/>
          <w:b/>
          <w:i w:val="false"/>
          <w:color w:val="000000"/>
          <w:sz w:val="22"/>
        </w:rPr>
        <w:t xml:space="preserve">Registration of employing units to determine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Each employing unit doing business in the state of Iowa, within 30 days of commencing business in the state in any manner whatsoever, whether by succession to a business already being operated, by starting a new business, or otherwise, shall inform the department and complete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The registration shall provide the department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the owners of the business, or if a corporation, association, or joint stock company or limited liability company, the names and addresses of its officers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employing unit’s principal place of business, the nature of its business, the number of individuals whom it customarily hires to perform services for it, the place or places where such services are performed, the time when such business was begun, the number of weeks in the year for which it is customary to operate such business, and such other information as may be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employing unit must also file contribution and payroll for all reporting units, if applicable.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871—22.10</w:t>
      </w:r>
      <w:r>
        <w:rPr>
          <w:rFonts w:ascii="Times New Roman" w:hAnsi="Times New Roman"/>
          <w:b/>
          <w:i w:val="false"/>
          <w:color w:val="000000"/>
          <w:sz w:val="22"/>
        </w:rPr>
        <w:t xml:space="preserve">(96) </w:t>
      </w:r>
      <w:r>
        <w:rPr>
          <w:rFonts w:ascii="Times New Roman" w:hAnsi="Times New Roman"/>
          <w:b/>
          <w:i w:val="false"/>
          <w:color w:val="000000"/>
          <w:sz w:val="22"/>
        </w:rPr>
        <w:t xml:space="preserve">Report of a partnership on change in partners.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val="false"/>
          <w:color w:val="000000"/>
          <w:sz w:val="22"/>
        </w:rPr>
        <w:t>If a partnership alters its ownership structure and the Internal Revenue Service does not require the partnership to obtain a new federal identification number, the partnership has ten days to notify the department of the change. The department will subsequently update the partnership account to reflect this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Internal Revenue Service requires the partnership to obtain a new federal identification number, or if there has been a change of ownership as described in Iowa Code section </w:t>
      </w:r>
      <w:hyperlink r:id="rId28">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“b”</w:t>
      </w:r>
      <w:r>
        <w:rPr>
          <w:rFonts w:ascii="Times New Roman" w:hAnsi="Times New Roman"/>
          <w:b w:val="false"/>
          <w:i w:val="false"/>
          <w:color w:val="000000"/>
          <w:sz w:val="22"/>
        </w:rPr>
        <w:t xml:space="preserve"> or rule </w:t>
      </w:r>
      <w:hyperlink r:id="rId29">
        <w:r>
          <w:rPr>
            <w:rStyle w:val="Hyperlink"/>
            <w:rFonts w:ascii="Times New Roman" w:hAnsi="Times New Roman"/>
            <w:b w:val="false"/>
            <w:i w:val="false"/>
            <w:color w:val="000000"/>
            <w:sz w:val="22"/>
          </w:rPr>
          <w:t>871—23.28</w:t>
        </w:r>
      </w:hyperlink>
      <w:r>
        <w:rPr>
          <w:rFonts w:ascii="Times New Roman" w:hAnsi="Times New Roman"/>
          <w:b w:val="false"/>
          <w:i w:val="false"/>
          <w:color w:val="000000"/>
          <w:sz w:val="22"/>
        </w:rPr>
        <w:t>(96), then the old partnership has ten days to electronically file the change of ownership with the department and to complete a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871—22.11</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An employer that has more than one establishment or business is considered to be one employing unit entitled to one account and a single experience rate. If an establishment or business owned by an employer is a separate legal entity in its own right (i.e., a subsidiary corporation), it will be considered to be a separate employer with its own experience rate. When an already covered employer acquires another establishment or business, the employer will have a separate account number with a separate experience rate for the acquired business only if that business retains its character as a separate legal entity. If the acquired business is merged with that of the employer so that they become a single legal entity under the law, the successor is not entitled to separate rates for each establishment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Each employer shall report all wages paid and pay all contributions into the unemployment account maintained by the department. The title of the employer’s account shall be the name of the employing unit and may contain its trade name. Where the employing unit is a fiduciary agent or legal representative, the title of the account will be the name of the fiduciary or legal representative and the official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val="false"/>
          <w:color w:val="000000"/>
          <w:sz w:val="22"/>
        </w:rPr>
        <w:t>The department shall assign each employer’s account a number that may only be changed if the system of numbering accounts is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22.11(4)</w:t>
      </w:r>
      <w:r>
        <w:rPr>
          <w:rFonts w:ascii="Times New Roman" w:hAnsi="Times New Roman"/>
          <w:b w:val="false"/>
          <w:i w:val="false"/>
          <w:color w:val="000000"/>
          <w:sz w:val="22"/>
        </w:rPr>
        <w:t> </w:t>
      </w:r>
      <w:r>
        <w:rPr>
          <w:rFonts w:ascii="Times New Roman" w:hAnsi="Times New Roman"/>
          <w:b w:val="false"/>
          <w:i w:val="false"/>
          <w:color w:val="000000"/>
          <w:sz w:val="22"/>
        </w:rPr>
        <w:t>As used in this rule, “establishment” means an economic unit, generally at a single physical location, where business is conducted, where services or industrial operations are performed, or from which employees are dispatched.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96.7(2)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871—22.12</w:t>
      </w:r>
      <w:r>
        <w:rPr>
          <w:rFonts w:ascii="Times New Roman" w:hAnsi="Times New Roman"/>
          <w:b/>
          <w:i w:val="false"/>
          <w:color w:val="000000"/>
          <w:sz w:val="22"/>
        </w:rPr>
        <w:t xml:space="preserve">(96) </w:t>
      </w:r>
      <w:r>
        <w:rPr>
          <w:rFonts w:ascii="Times New Roman" w:hAnsi="Times New Roman"/>
          <w:b/>
          <w:i w:val="false"/>
          <w:color w:val="000000"/>
          <w:sz w:val="22"/>
        </w:rPr>
        <w:t xml:space="preserve">Reporting units. </w:t>
      </w:r>
      <w:r>
        <w:rPr>
          <w:rFonts w:ascii="Times New Roman" w:hAnsi="Times New Roman"/>
          <w:b w:val="false"/>
          <w:i w:val="false"/>
          <w:color w:val="000000"/>
          <w:sz w:val="22"/>
        </w:rPr>
        <w:t>Any employer having two or more separate establishments will file those establishments as separate reporting units. Additionally, at the employer’s discretion, the employer may establish reporting units to report according to function within the business. When filing employer’s contribution and payroll, all reporting units will be submitted together unless the department authorizes otherwise. The submission is not complete until all reporting units are completed. It is the responsibility of the employer to maintain current status for the reporting units, and if any reporting units are deleted or added, the employer must notify the department within ten working days from the date of change.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96.1A(6)</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96.7(2)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871—22.13</w:t>
      </w:r>
      <w:r>
        <w:rPr>
          <w:rFonts w:ascii="Times New Roman" w:hAnsi="Times New Roman"/>
          <w:b/>
          <w:i w:val="false"/>
          <w:color w:val="000000"/>
          <w:sz w:val="22"/>
        </w:rPr>
        <w:t xml:space="preserve">(96) </w:t>
      </w:r>
      <w:r>
        <w:rPr>
          <w:rFonts w:ascii="Times New Roman" w:hAnsi="Times New Roman"/>
          <w:b/>
          <w:i w:val="false"/>
          <w:color w:val="000000"/>
          <w:sz w:val="22"/>
        </w:rPr>
        <w:t xml:space="preserve">Procedure to be followed by an employer wishing to have an active reporting unit coded for notice of claim for unemployment benefit mailing.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22.13(1)</w:t>
      </w:r>
      <w:r>
        <w:rPr>
          <w:rFonts w:ascii="Times New Roman" w:hAnsi="Times New Roman"/>
          <w:b w:val="false"/>
          <w:i w:val="false"/>
          <w:color w:val="000000"/>
          <w:sz w:val="22"/>
        </w:rPr>
        <w:t> </w:t>
      </w:r>
      <w:r>
        <w:rPr>
          <w:rFonts w:ascii="Times New Roman" w:hAnsi="Times New Roman"/>
          <w:b w:val="false"/>
          <w:i w:val="false"/>
          <w:color w:val="000000"/>
          <w:sz w:val="22"/>
        </w:rPr>
        <w:t>Any employing unit reporting under an assigned account and having one or more reporting units in the state may request a reporting unit number for the specific purpose of receiving a Notice of Claim Filing so that the employing unit may make a timely protest if the employment separation was for a disqualifiable reason. Those accounts so wishing may request that all unemployment insurance material other than the Notice of Claim Filing be sent to the home office or regional accounting office. All such requests must be from a responsible financial or operating officer of the firm and must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trade name and address of each location to be coded.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employer name and address of the home office or financial office where all unemployment insurance material other than the Notice of Claim Filing is to be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22.13(2)</w:t>
      </w:r>
      <w:r>
        <w:rPr>
          <w:rFonts w:ascii="Times New Roman" w:hAnsi="Times New Roman"/>
          <w:b w:val="false"/>
          <w:i w:val="false"/>
          <w:color w:val="000000"/>
          <w:sz w:val="22"/>
        </w:rPr>
        <w:t> </w:t>
      </w:r>
      <w:r>
        <w:rPr>
          <w:rFonts w:ascii="Times New Roman" w:hAnsi="Times New Roman"/>
          <w:b w:val="false"/>
          <w:i w:val="false"/>
          <w:color w:val="000000"/>
          <w:sz w:val="22"/>
        </w:rPr>
        <w:t>Qualified personnel in the tax bureau may accept this information over the telephone provided that the employer makes known all of the above requested information and the person receiving this information notes the date it was received, the time it was received, who telephoned the information to the department, and the name and telephone number of a responsible party that can be contacted if further verification is needed with respect to the location coding procedure. Tax bureau personnel receiving this classified information by telephone will accordingly note this and make it a matter of permanent record.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871—22.14</w:t>
      </w:r>
      <w:r>
        <w:rPr>
          <w:rFonts w:ascii="Times New Roman" w:hAnsi="Times New Roman"/>
          <w:b/>
          <w:i w:val="false"/>
          <w:color w:val="000000"/>
          <w:sz w:val="22"/>
        </w:rPr>
        <w:t xml:space="preserve">(96) </w:t>
      </w:r>
      <w:r>
        <w:rPr>
          <w:rFonts w:ascii="Times New Roman" w:hAnsi="Times New Roman"/>
          <w:b/>
          <w:i w:val="false"/>
          <w:color w:val="000000"/>
          <w:sz w:val="22"/>
        </w:rPr>
        <w:t xml:space="preserve">Notification by employer of employee’s rights. </w:t>
      </w:r>
      <w:r>
        <w:rPr>
          <w:rFonts w:ascii="Times New Roman" w:hAnsi="Times New Roman"/>
          <w:b w:val="false"/>
          <w:i w:val="false"/>
          <w:color w:val="000000"/>
          <w:sz w:val="22"/>
        </w:rPr>
        <w:t xml:space="preserve">Notification is in accordance with Iowa Code section </w:t>
      </w:r>
      <w:hyperlink r:id="rId36">
        <w:r>
          <w:rPr>
            <w:rStyle w:val="Hyperlink"/>
            <w:rFonts w:ascii="Times New Roman" w:hAnsi="Times New Roman"/>
            <w:b w:val="false"/>
            <w:i w:val="false"/>
            <w:color w:val="000000"/>
            <w:sz w:val="22"/>
          </w:rPr>
          <w:t>96.11(2)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96.11(2)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871—22.15</w:t>
      </w:r>
      <w:r>
        <w:rPr>
          <w:rFonts w:ascii="Times New Roman" w:hAnsi="Times New Roman"/>
          <w:b/>
          <w:i w:val="false"/>
          <w:color w:val="000000"/>
          <w:sz w:val="22"/>
        </w:rPr>
        <w:t xml:space="preserve">(96) </w:t>
      </w:r>
      <w:r>
        <w:rPr>
          <w:rFonts w:ascii="Times New Roman" w:hAnsi="Times New Roman"/>
          <w:b/>
          <w:i w:val="false"/>
          <w:color w:val="000000"/>
          <w:sz w:val="22"/>
        </w:rPr>
        <w:t xml:space="preserve">940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val="false"/>
          <w:color w:val="000000"/>
          <w:sz w:val="22"/>
        </w:rPr>
        <w:t>Upon request, the department shall furnish to the Internal Revenue Service a certification of an employer’s account for a particular year. Certification requests may be on an individual basis or may be part of a bulk yearly certification. Such certification will include the employer’s state account number, yearly taxable payroll, contribution rate, contributions paid prior to January 31 of the next succeeding year, and the date and amount of contributions after January 31 of the next succeeding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certified in subrule </w:t>
      </w:r>
      <w:hyperlink r:id="rId38">
        <w:r>
          <w:rPr>
            <w:rStyle w:val="Hyperlink"/>
            <w:rFonts w:ascii="Times New Roman" w:hAnsi="Times New Roman"/>
            <w:b w:val="false"/>
            <w:i w:val="false"/>
            <w:color w:val="000000"/>
            <w:sz w:val="22"/>
          </w:rPr>
          <w:t>22.15(1)</w:t>
        </w:r>
      </w:hyperlink>
      <w:r>
        <w:rPr>
          <w:rFonts w:ascii="Times New Roman" w:hAnsi="Times New Roman"/>
          <w:b w:val="false"/>
          <w:i w:val="false"/>
          <w:color w:val="000000"/>
          <w:sz w:val="22"/>
        </w:rPr>
        <w:t>, yearly certification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Employers that filed a federal unemployment tax return (Form 940) that did not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Employers that filed returns with the department but not with the Internal Revenue Service, except governmental employers and employers that department records indicate to be 501(c)(3) nonprofit organizations.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96.11(6)</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871—22.16</w:t>
      </w:r>
      <w:r>
        <w:rPr>
          <w:rFonts w:ascii="Times New Roman" w:hAnsi="Times New Roman"/>
          <w:b/>
          <w:i w:val="false"/>
          <w:color w:val="000000"/>
          <w:sz w:val="22"/>
        </w:rPr>
        <w:t xml:space="preserve">(96) </w:t>
      </w:r>
      <w:r>
        <w:rPr>
          <w:rFonts w:ascii="Times New Roman" w:hAnsi="Times New Roman"/>
          <w:b/>
          <w:i w:val="false"/>
          <w:color w:val="000000"/>
          <w:sz w:val="22"/>
        </w:rPr>
        <w:t xml:space="preserve">Electronic transmittal of contribution payments. </w:t>
      </w:r>
      <w:r>
        <w:rPr>
          <w:rFonts w:ascii="Times New Roman" w:hAnsi="Times New Roman"/>
          <w:b w:val="false"/>
          <w:i w:val="false"/>
          <w:color w:val="000000"/>
          <w:sz w:val="22"/>
        </w:rPr>
        <w:t xml:space="preserve">Employing units must transmit payment of contributions to the department electronically.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871—22.17</w:t>
      </w:r>
      <w:r>
        <w:rPr>
          <w:rFonts w:ascii="Times New Roman" w:hAnsi="Times New Roman"/>
          <w:b/>
          <w:i w:val="false"/>
          <w:color w:val="000000"/>
          <w:sz w:val="22"/>
        </w:rPr>
        <w:t xml:space="preserve">(96) </w:t>
      </w:r>
      <w:r>
        <w:rPr>
          <w:rFonts w:ascii="Times New Roman" w:hAnsi="Times New Roman"/>
          <w:b/>
          <w:i w:val="false"/>
          <w:color w:val="000000"/>
          <w:sz w:val="22"/>
        </w:rPr>
        <w:t xml:space="preserve">Procedures of field auditors.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22.17(1)</w:t>
      </w:r>
      <w:r>
        <w:rPr>
          <w:rFonts w:ascii="Times New Roman" w:hAnsi="Times New Roman"/>
          <w:b w:val="false"/>
          <w:i w:val="false"/>
          <w:color w:val="000000"/>
          <w:sz w:val="22"/>
        </w:rPr>
        <w:t> </w:t>
      </w:r>
      <w:r>
        <w:rPr>
          <w:rFonts w:ascii="Times New Roman" w:hAnsi="Times New Roman"/>
          <w:b w:val="false"/>
          <w:i w:val="false"/>
          <w:color w:val="000000"/>
          <w:sz w:val="22"/>
        </w:rPr>
        <w:t>Field auditors are to provide a cost-effective method of promoting employers’ understanding of employer rights and responsibilities under Iowa unemployment insurance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22.17(2)</w:t>
      </w:r>
      <w:r>
        <w:rPr>
          <w:rFonts w:ascii="Times New Roman" w:hAnsi="Times New Roman"/>
          <w:b w:val="false"/>
          <w:i w:val="false"/>
          <w:color w:val="000000"/>
          <w:sz w:val="22"/>
        </w:rPr>
        <w:t> </w:t>
      </w:r>
      <w:r>
        <w:rPr>
          <w:rFonts w:ascii="Times New Roman" w:hAnsi="Times New Roman"/>
          <w:b w:val="false"/>
          <w:i w:val="false"/>
          <w:color w:val="000000"/>
          <w:sz w:val="22"/>
        </w:rPr>
        <w:t>The department, through duly appointed field auditors, may examine an employer’s records at any reasonable time to determine compliance with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22.17(3)</w:t>
      </w:r>
      <w:r>
        <w:rPr>
          <w:rFonts w:ascii="Times New Roman" w:hAnsi="Times New Roman"/>
          <w:b w:val="false"/>
          <w:i w:val="false"/>
          <w:color w:val="000000"/>
          <w:sz w:val="22"/>
        </w:rPr>
        <w:t> </w:t>
      </w:r>
      <w:r>
        <w:rPr>
          <w:rFonts w:ascii="Times New Roman" w:hAnsi="Times New Roman"/>
          <w:b w:val="false"/>
          <w:i w:val="false"/>
          <w:color w:val="000000"/>
          <w:sz w:val="22"/>
        </w:rPr>
        <w:t>The department has enforcement authority. An employer, when requested to produce records by an auditor, must make the records available. If an employer does not comply with the auditor’s request to produce records, a subpoena duces tecum may be served on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through duly appointed field auditors, may perform a systematic audit of an employer’s records as authorized by Iowa Code section </w:t>
      </w:r>
      <w:hyperlink r:id="rId43">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xml:space="preserve"> and as mandated by the United States Department of Labor. In addition to the provisions of subrules </w:t>
      </w:r>
      <w:hyperlink r:id="rId44">
        <w:r>
          <w:rPr>
            <w:rStyle w:val="Hyperlink"/>
            <w:rFonts w:ascii="Times New Roman" w:hAnsi="Times New Roman"/>
            <w:b w:val="false"/>
            <w:i w:val="false"/>
            <w:color w:val="000000"/>
            <w:sz w:val="22"/>
          </w:rPr>
          <w:t>22.17(1) through 22.17(3)</w:t>
        </w:r>
      </w:hyperlink>
      <w:r>
        <w:rPr>
          <w:rFonts w:ascii="Times New Roman" w:hAnsi="Times New Roman"/>
          <w:b w:val="false"/>
          <w:i w:val="false"/>
          <w:color w:val="000000"/>
          <w:sz w:val="22"/>
        </w:rPr>
        <w:t>, the following provisions apply to systematic audits: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is to be given reasonable notice of the intent to audit, and a preaudit interview, typically in the form of a preaudit questionnaire, is to be conducted with the employer or a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records required, if maintained, may include individual pay records, Internal Revenue Service Forms W-2 and 1099, cash disbursement journals, check registers, general ledgers, balance sheets, profit and loss statements, federal and state tax returns, and other records to the extent they relate to possible hidden or misclassified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verify the existence of the business, the auditor may require a visit to the business premises or request other evidence of legitimate business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verify the correct business entity is listed on department files, the auditor may examine various employer business licenses, legal documents or other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verify the reporting of all workers reportable to the department under the Act, questionable entries will be investigated and documented. If the employer disagrees with the audit decision on coverage of a worker, the auditor may require the employer to complete Form 68-0192, Questionnaire for Determining Status of Workers. In any disputed case, the auditor is to be granted access to records as necessary to determine the remuneration paid for any given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verify proper employer posting to department reports, a detailed audit of check stubs or other maintained source documents will be made and documented for at least one worker for at least one quarter. The detailed audit may be more comprehensive at the discretion of the auditor or if discrepancies are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Employer records will be compared and reconciled to amounts reported to the department on contribution and payroll reports and audit findings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Discrepancies will be resolved or explained, and report adjustments prepared,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 will cover four calendar quarters; however, if material errors are found, the audit may be expanded to cover prior or subsequent years subject to limitations of subrule </w:t>
      </w:r>
      <w:hyperlink r:id="rId4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Additional amounts due will be calculated and collected, including applicable interest and penalties, or an explanation will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audit, the department will communicate the results to the employer or designated representative. An audit report with all worksheets, adjustments, and reports will be retained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22.17(5)</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several other reasons department representatives may make employer contacts and demands under authority of this rule. Any of these activities may be expanded into a systematic compliance audit as described in subrule </w:t>
      </w:r>
      <w:hyperlink r:id="rId46">
        <w:r>
          <w:rPr>
            <w:rStyle w:val="Hyperlink"/>
            <w:rFonts w:ascii="Times New Roman" w:hAnsi="Times New Roman"/>
            <w:b w:val="false"/>
            <w:i w:val="false"/>
            <w:color w:val="000000"/>
            <w:sz w:val="22"/>
          </w:rPr>
          <w:t>22.17(4)</w:t>
        </w:r>
      </w:hyperlink>
      <w:r>
        <w:rPr>
          <w:rFonts w:ascii="Times New Roman" w:hAnsi="Times New Roman"/>
          <w:b w:val="false"/>
          <w:i w:val="false"/>
          <w:color w:val="000000"/>
          <w:sz w:val="22"/>
        </w:rPr>
        <w:t xml:space="preserve"> upon approval of the duly authorized representative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auditor may request to examine business records to determine the date employment began and the date the employing unit became subject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determine whether an employing unit is to be a covered employer and whether an individual, or class of individuals, is an employee whose remuneration would be subject to contributions, the auditor will examine employment contracts and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the employing unit is to be a covered employer, the auditor will examine legal documents such as leases, purchase contracts, partnership agreements, articles of incorporation, limited liability operating agreements, and stock records to determine ownership of the business; to establish responsibility for filing reports and paying contributions; and to assist in the determination of the unemployment insurance tax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liability is determined, the payroll/remuneration records may be examined to establish the correct amount of covered wages and the period to which they belong. Reports will be completed; the correct amount of contribution, penalty, and interest due will be computed; and collection action will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unemployment insurance claim is filed, an auditor may request to examine the records of an employer to establish the claimant’s rights to benefits under the Act. Form 68-0192, Questionnaire for Determining Status of Workers, and supporting documents may be required in contested cases. If the department determines that the claimant is an employee, the records will be examined to determine the correct amount of wages paid to the claimant and the period to which the wages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employer fails or refuses to file contribution and payroll, the auditor may examine the records to determine the correct amount of wages that should be reported and may compute and collect contributions, penalty, and interest due. Should records not be made available, the auditor may estimate the wages paid and amounts due pursuant to </w:t>
      </w:r>
      <w:hyperlink r:id="rId47">
        <w:r>
          <w:rPr>
            <w:rStyle w:val="Hyperlink"/>
            <w:rFonts w:ascii="Times New Roman" w:hAnsi="Times New Roman"/>
            <w:b w:val="false"/>
            <w:i w:val="false"/>
            <w:color w:val="000000"/>
            <w:sz w:val="22"/>
          </w:rPr>
          <w:t>871—subrule 23.59(2)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an employer is delinquent in paying contributions due, the auditor may examine records including cash accounts, accounts receivable, real and personal property accounts, accounts payable, notes payable, installment contracts, and mortgages payable to determine the employer’s equity in the assets on which a lien may be filed and judgment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22.17(6)</w:t>
      </w:r>
      <w:r>
        <w:rPr>
          <w:rFonts w:ascii="Times New Roman" w:hAnsi="Times New Roman"/>
          <w:b w:val="false"/>
          <w:i w:val="false"/>
          <w:color w:val="000000"/>
          <w:sz w:val="22"/>
        </w:rPr>
        <w:t> </w:t>
      </w:r>
      <w:r>
        <w:rPr>
          <w:rFonts w:ascii="Times New Roman" w:hAnsi="Times New Roman"/>
          <w:b w:val="false"/>
          <w:i w:val="false"/>
          <w:color w:val="000000"/>
          <w:sz w:val="22"/>
        </w:rPr>
        <w:t>When a temporary writ of injunction has been filed by the department against an employer because of the employer’s failure or refusal to file a required report or to pay assessed contributions, penalty, and interest, a field auditor may inspect the enjoined business premises during reasonable hours and interview any interested parties having knowledge of or being involved with the enjoined employer to ensure that such enjoined employer and all of the employer’s agents, servants, employees, and assigns are observing the conditions of the temporary writ of injunction.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96.7(3)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96.8(1)</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96.11(6)</w:t>
        </w:r>
      </w:hyperlink>
      <w:r>
        <w:rPr>
          <w:rFonts w:ascii="Times New Roman" w:hAnsi="Times New Roman"/>
          <w:b w:val="false"/>
          <w:i/>
          <w:color w:val="000000"/>
          <w:sz w:val="22"/>
        </w:rPr>
        <w:t>“a,”</w:t>
      </w:r>
      <w:r>
        <w:rPr>
          <w:rFonts w:ascii="Times New Roman" w:hAnsi="Times New Roman"/>
          <w:b w:val="false"/>
          <w:i w:val="false"/>
          <w:color w:val="000000"/>
          <w:sz w:val="22"/>
          <w:u w:val="single"/>
        </w:rPr>
        <w:t> </w:t>
      </w:r>
      <w:hyperlink r:id="rId53">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96.14</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96.20(3)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871—22.18</w:t>
      </w:r>
      <w:r>
        <w:rPr>
          <w:rFonts w:ascii="Times New Roman" w:hAnsi="Times New Roman"/>
          <w:b/>
          <w:i w:val="false"/>
          <w:color w:val="000000"/>
          <w:sz w:val="22"/>
        </w:rPr>
        <w:t xml:space="preserve">(96) </w:t>
      </w:r>
      <w:r>
        <w:rPr>
          <w:rFonts w:ascii="Times New Roman" w:hAnsi="Times New Roman"/>
          <w:b/>
          <w:i w:val="false"/>
          <w:color w:val="000000"/>
          <w:sz w:val="22"/>
        </w:rPr>
        <w:t xml:space="preserve">Agents and other practitioners or firms representing employers in unemployment insurance matters.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22.18(1)</w:t>
      </w:r>
      <w:r>
        <w:rPr>
          <w:rFonts w:ascii="Times New Roman" w:hAnsi="Times New Roman"/>
          <w:b w:val="false"/>
          <w:i w:val="false"/>
          <w:color w:val="000000"/>
          <w:sz w:val="22"/>
        </w:rPr>
        <w:t> </w:t>
      </w:r>
      <w:r>
        <w:rPr>
          <w:rFonts w:ascii="Times New Roman" w:hAnsi="Times New Roman"/>
          <w:b w:val="false"/>
          <w:i w:val="false"/>
          <w:color w:val="000000"/>
          <w:sz w:val="22"/>
        </w:rPr>
        <w:t>An agent, tax practitioner, accounting firm, attorney or any other firm or individual that represents or intervenes on behalf of an employer in any unemployment insurance matter must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power of attorney,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of authorization from the employer,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electronic designation of authority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22.18(2)</w:t>
      </w:r>
      <w:r>
        <w:rPr>
          <w:rFonts w:ascii="Times New Roman" w:hAnsi="Times New Roman"/>
          <w:b w:val="false"/>
          <w:i w:val="false"/>
          <w:color w:val="000000"/>
          <w:sz w:val="22"/>
        </w:rPr>
        <w:t> </w:t>
      </w:r>
      <w:r>
        <w:rPr>
          <w:rFonts w:ascii="Times New Roman" w:hAnsi="Times New Roman"/>
          <w:b w:val="false"/>
          <w:i w:val="false"/>
          <w:color w:val="000000"/>
          <w:sz w:val="22"/>
        </w:rPr>
        <w:t>The foregoing documents must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Employer’s full legal name, address, and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Employer doing business as (DBA) or trade name,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Legal name, address, telephone number and federal employer identification number (FEIN) of the agent or firm representing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Employer’s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Address of the designated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Roles that the agent or firm is authorized to perform for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 of the employer.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871—22.19</w:t>
      </w:r>
      <w:r>
        <w:rPr>
          <w:rFonts w:ascii="Times New Roman" w:hAnsi="Times New Roman"/>
          <w:b/>
          <w:i w:val="false"/>
          <w:color w:val="000000"/>
          <w:sz w:val="22"/>
        </w:rPr>
        <w:t xml:space="preserve">(96) </w:t>
      </w:r>
      <w:r>
        <w:rPr>
          <w:rFonts w:ascii="Times New Roman" w:hAnsi="Times New Roman"/>
          <w:b/>
          <w:i w:val="false"/>
          <w:color w:val="000000"/>
          <w:sz w:val="22"/>
        </w:rPr>
        <w:t xml:space="preserve">Notification of availability of unemployment insurance. </w:t>
      </w:r>
      <w:r>
        <w:rPr>
          <w:rFonts w:ascii="Times New Roman" w:hAnsi="Times New Roman"/>
          <w:b w:val="false"/>
          <w:i w:val="false"/>
          <w:color w:val="000000"/>
          <w:sz w:val="22"/>
        </w:rPr>
        <w:t>Upon an employee’s separation from employment, an employer must provide to the employee documentation informing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22.19(1)</w:t>
      </w:r>
      <w:r>
        <w:rPr>
          <w:rFonts w:ascii="Times New Roman" w:hAnsi="Times New Roman"/>
          <w:b w:val="false"/>
          <w:i w:val="false"/>
          <w:color w:val="000000"/>
          <w:sz w:val="22"/>
        </w:rPr>
        <w:t> </w:t>
      </w:r>
      <w:r>
        <w:rPr>
          <w:rFonts w:ascii="Times New Roman" w:hAnsi="Times New Roman"/>
          <w:b w:val="false"/>
          <w:i w:val="false"/>
          <w:color w:val="000000"/>
          <w:sz w:val="22"/>
        </w:rPr>
        <w:t>Unemployment insurance benefits are available to workers who are unemployed and who meet the state’s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22.19(2)</w:t>
      </w:r>
      <w:r>
        <w:rPr>
          <w:rFonts w:ascii="Times New Roman" w:hAnsi="Times New Roman"/>
          <w:b w:val="false"/>
          <w:i w:val="false"/>
          <w:color w:val="000000"/>
          <w:sz w:val="22"/>
        </w:rPr>
        <w:t> </w:t>
      </w:r>
      <w:r>
        <w:rPr>
          <w:rFonts w:ascii="Times New Roman" w:hAnsi="Times New Roman"/>
          <w:b w:val="false"/>
          <w:i w:val="false"/>
          <w:color w:val="000000"/>
          <w:sz w:val="22"/>
        </w:rPr>
        <w:t>Employees may file a claim in the first week that employment stops or work hours are reduced;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22.19(3)</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may file claims online at </w:t>
      </w:r>
      <w:hyperlink r:id="rId58">
        <w:r>
          <w:rPr>
            <w:rStyle w:val="Hyperlink"/>
            <w:rFonts w:ascii="Times New Roman" w:hAnsi="Times New Roman"/>
            <w:b w:val="false"/>
            <w:i w:val="false"/>
            <w:color w:val="000000"/>
            <w:sz w:val="22"/>
            <w:u w:val="single"/>
          </w:rPr>
          <w:t>iowaworks.gov</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22.19(4)</w:t>
      </w:r>
      <w:r>
        <w:rPr>
          <w:rFonts w:ascii="Times New Roman" w:hAnsi="Times New Roman"/>
          <w:b w:val="false"/>
          <w:i w:val="false"/>
          <w:color w:val="000000"/>
          <w:sz w:val="22"/>
        </w:rPr>
        <w:t> </w:t>
      </w:r>
      <w:r>
        <w:rPr>
          <w:rFonts w:ascii="Times New Roman" w:hAnsi="Times New Roman"/>
          <w:b w:val="false"/>
          <w:i w:val="false"/>
          <w:color w:val="000000"/>
          <w:sz w:val="22"/>
        </w:rPr>
        <w:t>Employees must provide the department with the following information to process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to work (if the employee is not a U.S. citizen or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Last employer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Start and end dates of the employee’s last employment;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upon request of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the Coronavirus Aid, Relief, and Economic Security (CARES) Act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116-136).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10/28/75, Notice 9/22/75—published 11/17/75, effective 12/23/75]</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9/30/77, Notice 8/24/77—published 10/19/77, effective 11/23/77]</w:t>
      </w:r>
    </w:p>
    <w:p>
      <w:pPr>
        <w:spacing w:before="0" w:after="0"/>
        <w:ind w:left="120"/>
        <w:jc w:val="center"/>
      </w:pPr>
      <w:r>
        <w:rPr>
          <w:rFonts w:ascii="Times New Roman" w:hAnsi="Times New Roman"/>
          <w:b w:val="false"/>
          <w:i w:val="false"/>
          <w:color w:val="000000"/>
          <w:sz w:val="21"/>
        </w:rPr>
        <w:t>[Filed 5/24/78, Notice 4/5/78—published 6/14/78, effective 7/19/78]</w:t>
      </w:r>
    </w:p>
    <w:p>
      <w:pPr>
        <w:spacing w:before="0" w:after="0"/>
        <w:ind w:left="120"/>
        <w:jc w:val="center"/>
      </w:pPr>
      <w:r>
        <w:rPr>
          <w:rFonts w:ascii="Times New Roman" w:hAnsi="Times New Roman"/>
          <w:b w:val="false"/>
          <w:i w:val="false"/>
          <w:color w:val="000000"/>
          <w:sz w:val="21"/>
        </w:rPr>
        <w:t>[Filed 8/17/78, Notice 6/28/78—published 9/6/78, effective 10/11/78]</w:t>
      </w:r>
    </w:p>
    <w:p>
      <w:pPr>
        <w:spacing w:before="0" w:after="0"/>
        <w:ind w:left="120"/>
        <w:jc w:val="center"/>
      </w:pPr>
      <w:r>
        <w:rPr>
          <w:rFonts w:ascii="Times New Roman" w:hAnsi="Times New Roman"/>
          <w:b w:val="false"/>
          <w:i w:val="false"/>
          <w:color w:val="000000"/>
          <w:sz w:val="21"/>
        </w:rPr>
        <w:t>[Filed 12/22/78, Notice 11/15/78—published 1/10/79, effective 2/14/79]</w:t>
      </w:r>
    </w:p>
    <w:p>
      <w:pPr>
        <w:spacing w:before="0" w:after="0"/>
        <w:ind w:left="120"/>
        <w:jc w:val="center"/>
      </w:pPr>
      <w:r>
        <w:rPr>
          <w:rFonts w:ascii="Times New Roman" w:hAnsi="Times New Roman"/>
          <w:b w:val="false"/>
          <w:i w:val="false"/>
          <w:color w:val="000000"/>
          <w:sz w:val="21"/>
        </w:rPr>
        <w:t>[Filed 2/12/80, Notice 10/31/79—published 3/5/80, effective 4/9/80]</w:t>
      </w:r>
    </w:p>
    <w:p>
      <w:pPr>
        <w:spacing w:before="0" w:after="0"/>
        <w:ind w:left="120"/>
        <w:jc w:val="center"/>
      </w:pPr>
      <w:r>
        <w:rPr>
          <w:rFonts w:ascii="Times New Roman" w:hAnsi="Times New Roman"/>
          <w:b w:val="false"/>
          <w:i w:val="false"/>
          <w:color w:val="000000"/>
          <w:sz w:val="21"/>
        </w:rPr>
        <w:t>[Filed 12/28/81, Notice 11/11/81—published 1/20/82, effective 2/25/82]</w:t>
      </w:r>
    </w:p>
    <w:p>
      <w:pPr>
        <w:spacing w:before="0" w:after="0"/>
        <w:ind w:left="120"/>
        <w:jc w:val="center"/>
      </w:pPr>
      <w:r>
        <w:rPr>
          <w:rFonts w:ascii="Times New Roman" w:hAnsi="Times New Roman"/>
          <w:b w:val="false"/>
          <w:i w:val="false"/>
          <w:color w:val="000000"/>
          <w:sz w:val="21"/>
        </w:rPr>
        <w:t>[Filed 2/10/84, Notice 8/31/83—published 2/29/84, effective 4/5/84]</w:t>
      </w:r>
    </w:p>
    <w:p>
      <w:pPr>
        <w:spacing w:before="0" w:after="0"/>
        <w:ind w:left="120"/>
        <w:jc w:val="center"/>
      </w:pPr>
      <w:r>
        <w:rPr>
          <w:rFonts w:ascii="Times New Roman" w:hAnsi="Times New Roman"/>
          <w:b w:val="false"/>
          <w:i w:val="false"/>
          <w:color w:val="000000"/>
          <w:sz w:val="21"/>
        </w:rPr>
        <w:t>[Filed 7/11/86, Notice 5/7/86—published 7/30/86, effective 9/3/86]</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6/12/87—published 7/1/87, effective 7/1/87]</w:t>
      </w:r>
    </w:p>
    <w:p>
      <w:pPr>
        <w:spacing w:before="0" w:after="0"/>
        <w:ind w:left="120"/>
        <w:jc w:val="center"/>
      </w:pPr>
      <w:r>
        <w:rPr>
          <w:rFonts w:ascii="Times New Roman" w:hAnsi="Times New Roman"/>
          <w:b w:val="false"/>
          <w:i w:val="false"/>
          <w:color w:val="000000"/>
          <w:sz w:val="21"/>
        </w:rPr>
        <w:t>[Filed 7/24/87, Notice 6/3/87—published 8/12/87, effective 9/16/87]</w:t>
      </w:r>
    </w:p>
    <w:p>
      <w:pPr>
        <w:spacing w:before="0" w:after="0"/>
        <w:ind w:left="120"/>
        <w:jc w:val="center"/>
      </w:pPr>
      <w:r>
        <w:rPr>
          <w:rFonts w:ascii="Times New Roman" w:hAnsi="Times New Roman"/>
          <w:b w:val="false"/>
          <w:i w:val="false"/>
          <w:color w:val="000000"/>
          <w:sz w:val="21"/>
        </w:rPr>
        <w:t>[Filed 9/4/87, Notice 7/11/87—published 9/23/87, effective 10/28/87]</w:t>
      </w:r>
    </w:p>
    <w:p>
      <w:pPr>
        <w:spacing w:before="0" w:after="0"/>
        <w:ind w:left="120"/>
        <w:jc w:val="center"/>
      </w:pPr>
      <w:r>
        <w:rPr>
          <w:rFonts w:ascii="Times New Roman" w:hAnsi="Times New Roman"/>
          <w:b w:val="false"/>
          <w:i w:val="false"/>
          <w:color w:val="000000"/>
          <w:sz w:val="21"/>
        </w:rPr>
        <w:t>[Filed 2/3/89, Notice 12/28/88—published 2/22/89, effective 3/29/89]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11/16/94, Notice 9/14/94—published 12/7/94, effective 1/11/95]</w:t>
      </w:r>
    </w:p>
    <w:p>
      <w:pPr>
        <w:spacing w:before="0" w:after="0"/>
        <w:ind w:left="120"/>
        <w:jc w:val="center"/>
      </w:pPr>
      <w:r>
        <w:rPr>
          <w:rFonts w:ascii="Times New Roman" w:hAnsi="Times New Roman"/>
          <w:b w:val="false"/>
          <w:i w:val="false"/>
          <w:color w:val="000000"/>
          <w:sz w:val="21"/>
        </w:rPr>
        <w:t>[Filed 8/22/96, Notice 7/17/96—published 9/11/96, effective 10/16/96]</w:t>
      </w:r>
    </w:p>
    <w:p>
      <w:pPr>
        <w:spacing w:before="0" w:after="0"/>
        <w:ind w:left="120"/>
        <w:jc w:val="center"/>
      </w:pPr>
      <w:r>
        <w:rPr>
          <w:rFonts w:ascii="Times New Roman" w:hAnsi="Times New Roman"/>
          <w:b w:val="false"/>
          <w:i w:val="false"/>
          <w:color w:val="000000"/>
          <w:sz w:val="21"/>
        </w:rPr>
        <w:t xml:space="preserve">[Transferred from 345—Ch 2 to </w:t>
      </w:r>
      <w:hyperlink r:id="rId60">
        <w:r>
          <w:rPr>
            <w:rStyle w:val="Hyperlink"/>
            <w:rFonts w:ascii="Times New Roman" w:hAnsi="Times New Roman"/>
            <w:b w:val="false"/>
            <w:i w:val="false"/>
            <w:color w:val="000000"/>
            <w:sz w:val="21"/>
          </w:rPr>
          <w:t>871—Ch 22</w:t>
        </w:r>
      </w:hyperlink>
      <w:r>
        <w:rPr>
          <w:rFonts w:ascii="Times New Roman" w:hAnsi="Times New Roman"/>
          <w:b w:val="false"/>
          <w:i w:val="false"/>
          <w:color w:val="000000"/>
          <w:sz w:val="21"/>
        </w:rPr>
        <w:t xml:space="preserve"> IAC Supplement 3/12/97]</w:t>
      </w:r>
    </w:p>
    <w:p>
      <w:pPr>
        <w:spacing w:before="0" w:after="0"/>
        <w:ind w:left="120"/>
        <w:jc w:val="center"/>
      </w:pPr>
      <w:r>
        <w:rPr>
          <w:rFonts w:ascii="Times New Roman" w:hAnsi="Times New Roman"/>
          <w:b w:val="false"/>
          <w:i w:val="false"/>
          <w:color w:val="000000"/>
          <w:sz w:val="21"/>
        </w:rPr>
        <w:t>[Filed 1/20/99, Notice 12/16/98—published 2/10/99, effective 3/17/99]</w:t>
      </w:r>
    </w:p>
    <w:p>
      <w:pPr>
        <w:spacing w:before="0" w:after="0"/>
        <w:ind w:left="120"/>
        <w:jc w:val="center"/>
      </w:pPr>
      <w:r>
        <w:rPr>
          <w:rFonts w:ascii="Times New Roman" w:hAnsi="Times New Roman"/>
          <w:b w:val="false"/>
          <w:i w:val="false"/>
          <w:color w:val="000000"/>
          <w:sz w:val="21"/>
        </w:rPr>
        <w:t>[Filed 2/12/03, Notice 1/8/03—published 3/5/03, effective 4/9/03]</w:t>
      </w:r>
    </w:p>
    <w:p>
      <w:pPr>
        <w:spacing w:before="0" w:after="0"/>
        <w:ind w:left="120"/>
        <w:jc w:val="center"/>
      </w:pPr>
      <w:r>
        <w:rPr>
          <w:rFonts w:ascii="Times New Roman" w:hAnsi="Times New Roman"/>
          <w:b w:val="false"/>
          <w:i w:val="false"/>
          <w:color w:val="000000"/>
          <w:sz w:val="21"/>
        </w:rPr>
        <w:t>[Filed ARC 8711B</w:t>
      </w:r>
      <w:r>
        <w:rPr>
          <w:rFonts w:ascii="Times New Roman" w:hAnsi="Times New Roman"/>
          <w:b w:val="false"/>
          <w:i w:val="false"/>
          <w:color w:val="000000"/>
          <w:sz w:val="21"/>
        </w:rPr>
        <w:t xml:space="preserve"> (Notice ARC 8583B,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3116C</w:t>
      </w:r>
      <w:r>
        <w:rPr>
          <w:rFonts w:ascii="Times New Roman" w:hAnsi="Times New Roman"/>
          <w:b w:val="false"/>
          <w:i w:val="false"/>
          <w:color w:val="000000"/>
          <w:sz w:val="21"/>
        </w:rPr>
        <w:t xml:space="preserve"> (Notice ARC 3028C, IAB 4/12/17)</w:t>
      </w:r>
      <w:r>
        <w:rPr>
          <w:rFonts w:ascii="Times New Roman" w:hAnsi="Times New Roman"/>
          <w:b w:val="false"/>
          <w:i w:val="false"/>
          <w:color w:val="000000"/>
          <w:sz w:val="21"/>
        </w:rPr>
        <w:t>, IAB 6/7/17, effective 7/12/17]</w:t>
      </w:r>
      <w:r>
        <w:rPr>
          <w:rFonts w:ascii="Times New Roman" w:hAnsi="Times New Roman"/>
          <w:b w:val="false"/>
          <w:i w:val="false"/>
          <w:color w:val="000000"/>
          <w:sz w:val="21"/>
        </w:rPr>
        <w:t>[Editorial change: IAC Supplement 6/7/17]</w:t>
      </w:r>
    </w:p>
    <w:p>
      <w:pPr>
        <w:spacing w:before="0" w:after="0"/>
        <w:ind w:left="120"/>
        <w:jc w:val="center"/>
      </w:pPr>
      <w:r>
        <w:rPr>
          <w:rFonts w:ascii="Times New Roman" w:hAnsi="Times New Roman"/>
          <w:b w:val="false"/>
          <w:i w:val="false"/>
          <w:color w:val="000000"/>
          <w:sz w:val="21"/>
        </w:rPr>
        <w:t>[Filed ARC 3247C</w:t>
      </w:r>
      <w:r>
        <w:rPr>
          <w:rFonts w:ascii="Times New Roman" w:hAnsi="Times New Roman"/>
          <w:b w:val="false"/>
          <w:i w:val="false"/>
          <w:color w:val="000000"/>
          <w:sz w:val="21"/>
        </w:rPr>
        <w:t xml:space="preserve"> (Notice ARC 3070C, IAB 5/24/17)</w:t>
      </w:r>
      <w:r>
        <w:rPr>
          <w:rFonts w:ascii="Times New Roman" w:hAnsi="Times New Roman"/>
          <w:b w:val="false"/>
          <w:i w:val="false"/>
          <w:color w:val="000000"/>
          <w:sz w:val="21"/>
        </w:rPr>
        <w:t>, IAB 8/2/17, effective 9/6/17]</w:t>
      </w:r>
      <w:r>
        <w:br/>
      </w:r>
      <w:r>
        <w:rPr>
          <w:rFonts w:ascii="Times New Roman" w:hAnsi="Times New Roman"/>
          <w:b w:val="false"/>
          <w:i w:val="false"/>
          <w:color w:val="000000"/>
          <w:sz w:val="21"/>
        </w:rPr>
        <w:t>[Filed ARC 3248C</w:t>
      </w:r>
      <w:r>
        <w:rPr>
          <w:rFonts w:ascii="Times New Roman" w:hAnsi="Times New Roman"/>
          <w:b w:val="false"/>
          <w:i w:val="false"/>
          <w:color w:val="000000"/>
          <w:sz w:val="21"/>
        </w:rPr>
        <w:t xml:space="preserve"> (Notice ARC 3114C,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3265C</w:t>
      </w:r>
      <w:r>
        <w:rPr>
          <w:rFonts w:ascii="Times New Roman" w:hAnsi="Times New Roman"/>
          <w:b w:val="false"/>
          <w:i w:val="false"/>
          <w:color w:val="000000"/>
          <w:sz w:val="21"/>
        </w:rPr>
        <w:t xml:space="preserve"> (Notice ARC 3138C, IAB 6/21/17)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3303C</w:t>
      </w:r>
      <w:r>
        <w:rPr>
          <w:rFonts w:ascii="Times New Roman" w:hAnsi="Times New Roman"/>
          <w:b w:val="false"/>
          <w:i w:val="false"/>
          <w:color w:val="000000"/>
          <w:sz w:val="21"/>
        </w:rPr>
        <w:t xml:space="preserve"> (Notice ARC 3178C,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3401C</w:t>
      </w:r>
      <w:r>
        <w:rPr>
          <w:rFonts w:ascii="Times New Roman" w:hAnsi="Times New Roman"/>
          <w:b w:val="false"/>
          <w:i w:val="false"/>
          <w:color w:val="000000"/>
          <w:sz w:val="21"/>
        </w:rPr>
        <w:t xml:space="preserve"> (Notice ARC 3250C,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3529C</w:t>
      </w:r>
      <w:r>
        <w:rPr>
          <w:rFonts w:ascii="Times New Roman" w:hAnsi="Times New Roman"/>
          <w:b w:val="false"/>
          <w:i w:val="false"/>
          <w:color w:val="000000"/>
          <w:sz w:val="21"/>
        </w:rPr>
        <w:t xml:space="preserve"> (Notice ARC 3325C, IAB 9/27/17)</w:t>
      </w:r>
      <w:r>
        <w:rPr>
          <w:rFonts w:ascii="Times New Roman" w:hAnsi="Times New Roman"/>
          <w:b w:val="false"/>
          <w:i w:val="false"/>
          <w:color w:val="000000"/>
          <w:sz w:val="21"/>
        </w:rPr>
        <w:t>, IAB 12/20/17, effective 1/24/18]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3772C</w:t>
      </w:r>
      <w:r>
        <w:rPr>
          <w:rFonts w:ascii="Times New Roman" w:hAnsi="Times New Roman"/>
          <w:b w:val="false"/>
          <w:i w:val="false"/>
          <w:color w:val="000000"/>
          <w:sz w:val="21"/>
        </w:rPr>
        <w:t xml:space="preserve"> (Notice ARC 3658C,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Emergency ARC 5127C, IAB 8/12/20, effective 7/23/20]</w:t>
      </w:r>
    </w:p>
    <w:p>
      <w:pPr>
        <w:spacing w:before="0" w:after="0"/>
        <w:ind w:left="120"/>
        <w:jc w:val="center"/>
      </w:pPr>
      <w:r>
        <w:rPr>
          <w:rFonts w:ascii="Times New Roman" w:hAnsi="Times New Roman"/>
          <w:b w:val="false"/>
          <w:i w:val="false"/>
          <w:color w:val="000000"/>
          <w:sz w:val="21"/>
        </w:rPr>
        <w:t>[Filed ARC 5486C</w:t>
      </w:r>
      <w:r>
        <w:rPr>
          <w:rFonts w:ascii="Times New Roman" w:hAnsi="Times New Roman"/>
          <w:b w:val="false"/>
          <w:i w:val="false"/>
          <w:color w:val="000000"/>
          <w:sz w:val="21"/>
        </w:rPr>
        <w:t xml:space="preserve"> (Notice ARC 5128C, IAB 8/12/20)</w:t>
      </w:r>
      <w:r>
        <w:rPr>
          <w:rFonts w:ascii="Times New Roman" w:hAnsi="Times New Roman"/>
          <w:b w:val="false"/>
          <w:i w:val="false"/>
          <w:color w:val="000000"/>
          <w:sz w:val="21"/>
        </w:rPr>
        <w:t>, IAB 2/24/21, effective 5/26/21]</w:t>
      </w:r>
    </w:p>
    <w:p>
      <w:pPr>
        <w:spacing w:before="0" w:after="0"/>
        <w:ind w:left="120"/>
        <w:jc w:val="center"/>
      </w:pPr>
      <w:r>
        <w:rPr>
          <w:rFonts w:ascii="Times New Roman" w:hAnsi="Times New Roman"/>
          <w:b w:val="false"/>
          <w:i w:val="false"/>
          <w:color w:val="000000"/>
          <w:sz w:val="21"/>
        </w:rPr>
        <w:t>[Filed ARC 8360C</w:t>
      </w:r>
      <w:r>
        <w:rPr>
          <w:rFonts w:ascii="Times New Roman" w:hAnsi="Times New Roman"/>
          <w:b w:val="false"/>
          <w:i w:val="false"/>
          <w:color w:val="000000"/>
          <w:sz w:val="21"/>
        </w:rPr>
        <w:t xml:space="preserve"> (Notice ARC 8218C, IAB 9/18/24)</w:t>
      </w:r>
      <w:r>
        <w:rPr>
          <w:rFonts w:ascii="Times New Roman" w:hAnsi="Times New Roman"/>
          <w:b w:val="false"/>
          <w:i w:val="false"/>
          <w:color w:val="000000"/>
          <w:sz w:val="21"/>
        </w:rPr>
        <w:t>, IAB 11/13/24, effective 12/18/24]</w:t>
      </w:r>
    </w:p>
    <w:p>
      <w:pPr>
        <w:pBdr>
          <w:bottom w:space="2"/>
        </w:pBdr>
        <w:spacing w:before="0" w:after="0"/>
        <w:ind w:left="120"/>
        <w:jc w:val="both"/>
      </w:pPr>
      <w:r>
        <w:rPr>
          <w:rFonts w:ascii="Times New Roman" w:hAnsi="Times New Roman"/>
          <w:b w:val="false"/>
          <w:i w:val="false"/>
          <w:color w:val="000000"/>
          <w:sz w:val="22"/>
        </w:rPr>
        <w:t>January 24, 2018, effective date of ARC 3529C, Item 1 [22.9(3)], delayed until the adjournment of the 2018 General Assembly by the Administrative Rules Review Committee at its meeting held January 5, 2018.</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1.23.24.pdf" Type="http://schemas.openxmlformats.org/officeDocument/2006/relationships/hyperlink" Id="rId4"/>
    <Relationship TargetMode="External" Target="https://www.legis.iowa.gov/docs/ico/chapter/96.pdf" Type="http://schemas.openxmlformats.org/officeDocument/2006/relationships/hyperlink" Id="rId5"/>
    <Relationship TargetMode="External" Target="https://www.legis.iowa.gov/docs/ico/chapter/96.pdf" Type="http://schemas.openxmlformats.org/officeDocument/2006/relationships/hyperlink" Id="rId6"/>
    <Relationship TargetMode="External" Target="https://www.legis.iowa.gov/docs/iac/rule/871.22.3.pdf" Type="http://schemas.openxmlformats.org/officeDocument/2006/relationships/hyperlink" Id="rId7"/>
    <Relationship TargetMode="External" Target="https://www.legis.iowa.gov/docs/iac/rule/871.22.3.pdf" Type="http://schemas.openxmlformats.org/officeDocument/2006/relationships/hyperlink" Id="rId8"/>
    <Relationship TargetMode="External" Target="https://www.legis.iowa.gov/docs/ico/chapter/96.pdf" Type="http://schemas.openxmlformats.org/officeDocument/2006/relationships/hyperlink" Id="rId9"/>
    <Relationship TargetMode="External" Target="https://www.legis.iowa.gov/docs/ico/chapter/96.pdf" Type="http://schemas.openxmlformats.org/officeDocument/2006/relationships/hyperlink" Id="rId10"/>
    <Relationship TargetMode="External" Target="https://www.legis.iowa.gov/docs/iac/rule/871.22.3.pdf" Type="http://schemas.openxmlformats.org/officeDocument/2006/relationships/hyperlink" Id="rId11"/>
    <Relationship TargetMode="External" Target="https://www.legis.iowa.gov/docs/ico/chapter/96.pdf" Type="http://schemas.openxmlformats.org/officeDocument/2006/relationships/hyperlink" Id="rId12"/>
    <Relationship TargetMode="External" Target="https://www.legis.iowa.gov/docs/ico/chapter/96.pdf" Type="http://schemas.openxmlformats.org/officeDocument/2006/relationships/hyperlink" Id="rId13"/>
    <Relationship TargetMode="External" Target="https://www.legis.iowa.gov/docs/ico/chapter/96.pdf" Type="http://schemas.openxmlformats.org/officeDocument/2006/relationships/hyperlink" Id="rId14"/>
    <Relationship TargetMode="External" Target="https://www.legis.iowa.gov/docs/ico/chapter/96.pdf" Type="http://schemas.openxmlformats.org/officeDocument/2006/relationships/hyperlink" Id="rId15"/>
    <Relationship TargetMode="External" Target="https://www.legis.iowa.gov/docs/ico/chapter/96.pdf" Type="http://schemas.openxmlformats.org/officeDocument/2006/relationships/hyperlink" Id="rId16"/>
    <Relationship TargetMode="External" Target="https://www.legis.iowa.gov/docs/ico/chapter/96.pdf" Type="http://schemas.openxmlformats.org/officeDocument/2006/relationships/hyperlink" Id="rId17"/>
    <Relationship TargetMode="External" Target="https://www.legis.iowa.gov/docs/ico/chapter/96.pdf" Type="http://schemas.openxmlformats.org/officeDocument/2006/relationships/hyperlink" Id="rId18"/>
    <Relationship TargetMode="External" Target="https://www.legis.iowa.gov/docs/ico/chapter/96.pdf" Type="http://schemas.openxmlformats.org/officeDocument/2006/relationships/hyperlink" Id="rId19"/>
    <Relationship TargetMode="External" Target="https://www.legis.iowa.gov/docs/ico/chapter/96.pdf" Type="http://schemas.openxmlformats.org/officeDocument/2006/relationships/hyperlink" Id="rId20"/>
    <Relationship TargetMode="External" Target="https://www.legis.iowa.gov/docs/ico/chapter/96.pdf" Type="http://schemas.openxmlformats.org/officeDocument/2006/relationships/hyperlink" Id="rId21"/>
    <Relationship TargetMode="External" Target="https://www.legis.iowa.gov/docs/ico/chapter/96.pdf" Type="http://schemas.openxmlformats.org/officeDocument/2006/relationships/hyperlink" Id="rId22"/>
    <Relationship TargetMode="External" Target="https://www.legis.iowa.gov/docs/ico/chapter/96.pdf" Type="http://schemas.openxmlformats.org/officeDocument/2006/relationships/hyperlink" Id="rId23"/>
    <Relationship TargetMode="External" Target="https://www.legis.iowa.gov/docs/iac/rule/871.23.52.pdf" Type="http://schemas.openxmlformats.org/officeDocument/2006/relationships/hyperlink" Id="rId24"/>
    <Relationship TargetMode="External" Target="https://www.legis.iowa.gov/docs/iac/rule/871.23.56.pdf" Type="http://schemas.openxmlformats.org/officeDocument/2006/relationships/hyperlink" Id="rId25"/>
    <Relationship TargetMode="External" Target="https://www.legis.iowa.gov/docs/ico/chapter/96.pdf" Type="http://schemas.openxmlformats.org/officeDocument/2006/relationships/hyperlink" Id="rId26"/>
    <Relationship TargetMode="External" Target="https://www.legis.iowa.gov/docs/ico/chapter/96.pdf" Type="http://schemas.openxmlformats.org/officeDocument/2006/relationships/hyperlink" Id="rId27"/>
    <Relationship TargetMode="External" Target="https://www.legis.iowa.gov/docs/ico/chapter/96.pdf" Type="http://schemas.openxmlformats.org/officeDocument/2006/relationships/hyperlink" Id="rId28"/>
    <Relationship TargetMode="External" Target="https://www.legis.iowa.gov/docs/iac/rule/871.23.28.pdf" Type="http://schemas.openxmlformats.org/officeDocument/2006/relationships/hyperlink" Id="rId29"/>
    <Relationship TargetMode="External" Target="https://www.legis.iowa.gov/docs/ico/chapter/96.pdf" Type="http://schemas.openxmlformats.org/officeDocument/2006/relationships/hyperlink" Id="rId30"/>
    <Relationship TargetMode="External" Target="https://www.legis.iowa.gov/docs/ico/chapter/96.pdf" Type="http://schemas.openxmlformats.org/officeDocument/2006/relationships/hyperlink" Id="rId31"/>
    <Relationship TargetMode="External" Target="https://www.legis.iowa.gov/docs/ico/chapter/96.pdf" Type="http://schemas.openxmlformats.org/officeDocument/2006/relationships/hyperlink" Id="rId32"/>
    <Relationship TargetMode="External" Target="https://www.legis.iowa.gov/docs/ico/chapter/96.pdf" Type="http://schemas.openxmlformats.org/officeDocument/2006/relationships/hyperlink" Id="rId33"/>
    <Relationship TargetMode="External" Target="https://www.legis.iowa.gov/docs/ico/chapter/96.pdf" Type="http://schemas.openxmlformats.org/officeDocument/2006/relationships/hyperlink" Id="rId34"/>
    <Relationship TargetMode="External" Target="https://www.legis.iowa.gov/docs/ico/chapter/96.pdf" Type="http://schemas.openxmlformats.org/officeDocument/2006/relationships/hyperlink" Id="rId35"/>
    <Relationship TargetMode="External" Target="https://www.legis.iowa.gov/docs/ico/chapter/96.pdf" Type="http://schemas.openxmlformats.org/officeDocument/2006/relationships/hyperlink" Id="rId36"/>
    <Relationship TargetMode="External" Target="https://www.legis.iowa.gov/docs/ico/chapter/96.pdf" Type="http://schemas.openxmlformats.org/officeDocument/2006/relationships/hyperlink" Id="rId37"/>
    <Relationship TargetMode="External" Target="https://www.legis.iowa.gov/docs/iac/rule/871.22.15.pdf" Type="http://schemas.openxmlformats.org/officeDocument/2006/relationships/hyperlink" Id="rId38"/>
    <Relationship TargetMode="External" Target="https://www.legis.iowa.gov/docs/ico/chapter/96.pdf" Type="http://schemas.openxmlformats.org/officeDocument/2006/relationships/hyperlink" Id="rId39"/>
    <Relationship TargetMode="External" Target="https://www.legis.iowa.gov/docs/ico/chapter/96.pdf" Type="http://schemas.openxmlformats.org/officeDocument/2006/relationships/hyperlink" Id="rId40"/>
    <Relationship TargetMode="External" Target="https://www.legis.iowa.gov/docs/ico/chapter/96.pdf" Type="http://schemas.openxmlformats.org/officeDocument/2006/relationships/hyperlink" Id="rId41"/>
    <Relationship TargetMode="External" Target="https://www.legis.iowa.gov/docs/ico/chapter/96.pdf" Type="http://schemas.openxmlformats.org/officeDocument/2006/relationships/hyperlink" Id="rId42"/>
    <Relationship TargetMode="External" Target="https://www.legis.iowa.gov/docs/ico/chapter/96.pdf" Type="http://schemas.openxmlformats.org/officeDocument/2006/relationships/hyperlink" Id="rId43"/>
    <Relationship TargetMode="External" Target="https://www.legis.iowa.gov/docs/iac/rule/871.22.17.pdf" Type="http://schemas.openxmlformats.org/officeDocument/2006/relationships/hyperlink" Id="rId44"/>
    <Relationship TargetMode="External" Target="https://www.legis.iowa.gov/docs/iac/rule/871.22.1.pdf" Type="http://schemas.openxmlformats.org/officeDocument/2006/relationships/hyperlink" Id="rId45"/>
    <Relationship TargetMode="External" Target="https://www.legis.iowa.gov/docs/iac/rule/871.22.17.pdf" Type="http://schemas.openxmlformats.org/officeDocument/2006/relationships/hyperlink" Id="rId46"/>
    <Relationship TargetMode="External" Target="https://www.legis.iowa.gov/docs/iac/rule/871.23.59.pdf" Type="http://schemas.openxmlformats.org/officeDocument/2006/relationships/hyperlink" Id="rId47"/>
    <Relationship TargetMode="External" Target="https://www.legis.iowa.gov/docs/ico/chapter/96.pdf" Type="http://schemas.openxmlformats.org/officeDocument/2006/relationships/hyperlink" Id="rId48"/>
    <Relationship TargetMode="External" Target="https://www.legis.iowa.gov/docs/ico/chapter/96.pdf" Type="http://schemas.openxmlformats.org/officeDocument/2006/relationships/hyperlink" Id="rId49"/>
    <Relationship TargetMode="External" Target="https://www.legis.iowa.gov/docs/ico/chapter/96.pdf" Type="http://schemas.openxmlformats.org/officeDocument/2006/relationships/hyperlink" Id="rId50"/>
    <Relationship TargetMode="External" Target="https://www.legis.iowa.gov/docs/ico/chapter/96.pdf" Type="http://schemas.openxmlformats.org/officeDocument/2006/relationships/hyperlink" Id="rId51"/>
    <Relationship TargetMode="External" Target="https://www.legis.iowa.gov/docs/ico/chapter/96.pdf" Type="http://schemas.openxmlformats.org/officeDocument/2006/relationships/hyperlink" Id="rId52"/>
    <Relationship TargetMode="External" Target="https://www.legis.iowa.gov/docs/ico/chapter/96.pdf" Type="http://schemas.openxmlformats.org/officeDocument/2006/relationships/hyperlink" Id="rId53"/>
    <Relationship TargetMode="External" Target="https://www.legis.iowa.gov/docs/ico/chapter/96.pdf" Type="http://schemas.openxmlformats.org/officeDocument/2006/relationships/hyperlink" Id="rId54"/>
    <Relationship TargetMode="External" Target="https://www.legis.iowa.gov/docs/ico/chapter/96.pdf" Type="http://schemas.openxmlformats.org/officeDocument/2006/relationships/hyperlink" Id="rId55"/>
    <Relationship TargetMode="External" Target="https://www.legis.iowa.gov/docs/ico/chapter/96.pdf" Type="http://schemas.openxmlformats.org/officeDocument/2006/relationships/hyperlink" Id="rId56"/>
    <Relationship TargetMode="External" Target="https://www.legis.iowa.gov/docs/ico/chapter/96.pdf" Type="http://schemas.openxmlformats.org/officeDocument/2006/relationships/hyperlink" Id="rId57"/>
    <Relationship TargetMode="External" Target="http://iowaworks.gov" Type="http://schemas.openxmlformats.org/officeDocument/2006/relationships/hyperlink" Id="rId58"/>
    <Relationship TargetMode="External" Target="https://www.legis.iowa.gov/docs/ico/chapter/96.pdf" Type="http://schemas.openxmlformats.org/officeDocument/2006/relationships/hyperlink" Id="rId59"/>
    <Relationship TargetMode="External" Target="https://www.legis.iowa.gov/docs/iac/chapter/871.22.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