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2063</w:t>
      </w:r>
    </w:p>
    <w:p>
      <w:pPr>
        <w:spacing w:before="0" w:after="0"/>
        <w:ind w:left="120"/>
        <w:jc w:val="center"/>
      </w:pPr>
      <w:r>
        <w:rPr>
          <w:rFonts w:ascii="Times New Roman" w:hAnsi="Times New Roman"/>
          <w:b w:val="false"/>
          <w:i w:val="false"/>
          <w:color w:val="000000"/>
          <w:sz w:val="21"/>
        </w:rPr>
        <w:t>DISCIPLINE FOR HEARING AID SPECIALISTS</w:t>
      </w:r>
    </w:p>
    <w:p>
      <w:pPr>
        <w:spacing w:before="0" w:after="0"/>
        <w:ind w:left="120"/>
        <w:jc w:val="center"/>
      </w:pPr>
      <w:r>
        <w:rPr>
          <w:rFonts w:ascii="Times New Roman" w:hAnsi="Times New Roman"/>
          <w:b w:val="false"/>
          <w:i w:val="false"/>
          <w:color w:val="000000"/>
          <w:sz w:val="14"/>
        </w:rPr>
        <w:t>[Prior to 5/29/02, see 645—120.11(272C)]</w:t>
      </w:r>
    </w:p>
    <w:p>
      <w:pPr>
        <w:spacing w:before="0" w:after="0"/>
        <w:ind w:left="120"/>
        <w:jc w:val="center"/>
      </w:pPr>
      <w:r>
        <w:rPr>
          <w:rFonts w:ascii="Times New Roman" w:hAnsi="Times New Roman"/>
          <w:b w:val="false"/>
          <w:i w:val="false"/>
          <w:color w:val="000000"/>
          <w:sz w:val="14"/>
        </w:rPr>
        <w:t>[Prior to 10/30/24, see Professional Licensure Division[645] Ch 124]</w:t>
      </w:r>
    </w:p>
    <w:p>
      <w:pPr>
        <w:spacing w:before="0" w:after="0"/>
        <w:ind w:left="120"/>
        <w:jc w:val="both"/>
      </w:pPr>
      <w:r>
        <w:rPr>
          <w:rFonts w:ascii="Times New Roman" w:hAnsi="Times New Roman"/>
          <w:b/>
          <w:i w:val="false"/>
          <w:color w:val="000000"/>
          <w:sz w:val="22"/>
        </w:rPr>
        <w:t>481—2063.1</w:t>
      </w:r>
      <w:r>
        <w:rPr>
          <w:rFonts w:ascii="Times New Roman" w:hAnsi="Times New Roman"/>
          <w:b/>
          <w:i w:val="false"/>
          <w:color w:val="000000"/>
          <w:sz w:val="22"/>
        </w:rPr>
        <w:t xml:space="preserve">(154A,272C) </w:t>
      </w:r>
      <w:r>
        <w:rPr>
          <w:rFonts w:ascii="Times New Roman" w:hAnsi="Times New Roman"/>
          <w:b/>
          <w:i w:val="false"/>
          <w:color w:val="000000"/>
          <w:sz w:val="22"/>
        </w:rPr>
        <w:t xml:space="preserve">Grounds for discipline. </w:t>
      </w:r>
      <w:r>
        <w:rPr>
          <w:rFonts w:ascii="Times New Roman" w:hAnsi="Times New Roman"/>
          <w:b w:val="false"/>
          <w:i w:val="false"/>
          <w:color w:val="000000"/>
          <w:sz w:val="22"/>
        </w:rPr>
        <w:t>The board may impose any of the disciplinary sanctions provided in rule 481—504.3(272C) when the board determines that the licensee is guilty of any of the following acts or offenses or those listed in 481—Chapter 504: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2063.1(1)</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comply with the current Code of Ethics of the International Hearing Society (2023). The board hereby adopts by reference the current Code of Ethics of the International Hearing Society, available at </w:t>
      </w:r>
      <w:hyperlink r:id="rId4">
        <w:r>
          <w:rPr>
            <w:rStyle w:val="Hyperlink"/>
            <w:rFonts w:ascii="Times New Roman" w:hAnsi="Times New Roman"/>
            <w:b w:val="false"/>
            <w:i w:val="false"/>
            <w:color w:val="000000"/>
            <w:sz w:val="22"/>
            <w:u w:val="single"/>
          </w:rPr>
          <w:t>www.ihsinfo.org</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2063.1(2)</w:t>
      </w:r>
      <w:r>
        <w:rPr>
          <w:rFonts w:ascii="Times New Roman" w:hAnsi="Times New Roman"/>
          <w:b w:val="false"/>
          <w:i w:val="false"/>
          <w:color w:val="000000"/>
          <w:sz w:val="22"/>
        </w:rPr>
        <w:t> </w:t>
      </w:r>
      <w:r>
        <w:rPr>
          <w:rFonts w:ascii="Times New Roman" w:hAnsi="Times New Roman"/>
          <w:b w:val="false"/>
          <w:i w:val="false"/>
          <w:color w:val="000000"/>
          <w:sz w:val="22"/>
        </w:rPr>
        <w:t xml:space="preserve">Advertising that hearing testing or hearing screening is a medical examination used to diagnose or refer.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2063.1(3)</w:t>
      </w:r>
      <w:r>
        <w:rPr>
          <w:rFonts w:ascii="Times New Roman" w:hAnsi="Times New Roman"/>
          <w:b w:val="false"/>
          <w:i w:val="false"/>
          <w:color w:val="000000"/>
          <w:sz w:val="22"/>
        </w:rPr>
        <w:t> </w:t>
      </w:r>
      <w:r>
        <w:rPr>
          <w:rFonts w:ascii="Times New Roman" w:hAnsi="Times New Roman"/>
          <w:b w:val="false"/>
          <w:i w:val="false"/>
          <w:color w:val="000000"/>
          <w:sz w:val="22"/>
        </w:rPr>
        <w:t>Except in cases of selling replacement hearing aids of the same make or model within one year of the original sale, a hearing aid will not be sold without adequate diagnostic testing and evaluation using established procedures to assess hearing needs as defined in 481—Chapter 2062. Testing equipment will be calibrated to current standards at least annually or more often if necessary. The distributor will keep with the testing equipment a certificate indicating the date of calibration.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7820C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10/30/24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This rule is intended to implement Iowa Code chapters </w:t>
      </w:r>
      <w:hyperlink r:id="rId5">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154A</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5/8/02, Notice 3/6/02—published 5/29/02, effective 7/3/02]</w:t>
      </w:r>
    </w:p>
    <w:p>
      <w:pPr>
        <w:spacing w:before="0" w:after="0"/>
        <w:ind w:left="120"/>
        <w:jc w:val="center"/>
      </w:pPr>
      <w:r>
        <w:rPr>
          <w:rFonts w:ascii="Times New Roman" w:hAnsi="Times New Roman"/>
          <w:b w:val="false"/>
          <w:i w:val="false"/>
          <w:color w:val="000000"/>
          <w:sz w:val="21"/>
        </w:rPr>
        <w:t>[Filed 8/14/03, Notice 5/28/03—published 9/3/03, effective 10/8/03]</w:t>
      </w:r>
    </w:p>
    <w:p>
      <w:pPr>
        <w:spacing w:before="0" w:after="0"/>
        <w:ind w:left="120"/>
        <w:jc w:val="center"/>
      </w:pPr>
      <w:r>
        <w:rPr>
          <w:rFonts w:ascii="Times New Roman" w:hAnsi="Times New Roman"/>
          <w:b w:val="false"/>
          <w:i w:val="false"/>
          <w:color w:val="000000"/>
          <w:sz w:val="21"/>
        </w:rPr>
        <w:t>[Filed 8/5/05, Notice 5/25/05—published 8/31/05, effective 10/5/05]</w:t>
      </w:r>
    </w:p>
    <w:p>
      <w:pPr>
        <w:spacing w:before="0" w:after="0"/>
        <w:ind w:left="120"/>
        <w:jc w:val="center"/>
      </w:pPr>
      <w:r>
        <w:rPr>
          <w:rFonts w:ascii="Times New Roman" w:hAnsi="Times New Roman"/>
          <w:b w:val="false"/>
          <w:i w:val="false"/>
          <w:color w:val="000000"/>
          <w:sz w:val="21"/>
        </w:rPr>
        <w:t>[Filed 10/31/05, Notice 8/31/05—published 11/23/05, effective 12/28/05]</w:t>
      </w:r>
    </w:p>
    <w:p>
      <w:pPr>
        <w:spacing w:before="0" w:after="0"/>
        <w:ind w:left="120"/>
        <w:jc w:val="center"/>
      </w:pPr>
      <w:r>
        <w:rPr>
          <w:rFonts w:ascii="Times New Roman" w:hAnsi="Times New Roman"/>
          <w:b w:val="false"/>
          <w:i w:val="false"/>
          <w:color w:val="000000"/>
          <w:sz w:val="21"/>
        </w:rPr>
        <w:t>[Filed 4/25/06, Notice 3/1/06—published 5/24/06, effective 6/28/06]</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12/11/08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9/24/08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1/14/09</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2/18/09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9424B</w:t>
      </w:r>
      <w:r>
        <w:rPr>
          <w:rFonts w:ascii="Times New Roman" w:hAnsi="Times New Roman"/>
          <w:b w:val="false"/>
          <w:i w:val="false"/>
          <w:color w:val="000000"/>
          <w:sz w:val="21"/>
        </w:rPr>
        <w:t xml:space="preserve"> (Notice ARC 9317B, IAB 12/29/10)</w:t>
      </w:r>
      <w:r>
        <w:rPr>
          <w:rFonts w:ascii="Times New Roman" w:hAnsi="Times New Roman"/>
          <w:b w:val="false"/>
          <w:i w:val="false"/>
          <w:color w:val="000000"/>
          <w:sz w:val="21"/>
        </w:rPr>
        <w:t>, IAB 3/9/11, effective 4/13/11]</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[Editorial change: IAC Supplement 4/20/11]</w:t>
      </w:r>
    </w:p>
    <w:p>
      <w:pPr>
        <w:spacing w:before="0" w:after="0"/>
        <w:ind w:left="120"/>
        <w:jc w:val="center"/>
      </w:pPr>
      <w:r>
        <w:rPr>
          <w:rFonts w:ascii="Times New Roman" w:hAnsi="Times New Roman"/>
          <w:b w:val="false"/>
          <w:i w:val="false"/>
          <w:color w:val="000000"/>
          <w:sz w:val="21"/>
        </w:rPr>
        <w:t>[Filed ARC 0032C</w:t>
      </w:r>
      <w:r>
        <w:rPr>
          <w:rFonts w:ascii="Times New Roman" w:hAnsi="Times New Roman"/>
          <w:b w:val="false"/>
          <w:i w:val="false"/>
          <w:color w:val="000000"/>
          <w:sz w:val="21"/>
        </w:rPr>
        <w:t xml:space="preserve"> (Notice ARC 9800B, IAB 10/5/11)</w:t>
      </w:r>
      <w:r>
        <w:rPr>
          <w:rFonts w:ascii="Times New Roman" w:hAnsi="Times New Roman"/>
          <w:b w:val="false"/>
          <w:i w:val="false"/>
          <w:color w:val="000000"/>
          <w:sz w:val="21"/>
        </w:rPr>
        <w:t>, IAB 3/7/12, effective 4/11/12]</w:t>
      </w:r>
    </w:p>
    <w:p>
      <w:pPr>
        <w:spacing w:before="0" w:after="0"/>
        <w:ind w:left="120"/>
        <w:jc w:val="center"/>
      </w:pPr>
      <w:r>
        <w:rPr>
          <w:rFonts w:ascii="Times New Roman" w:hAnsi="Times New Roman"/>
          <w:b w:val="false"/>
          <w:i w:val="false"/>
          <w:color w:val="000000"/>
          <w:sz w:val="21"/>
        </w:rPr>
        <w:t>[Filed ARC 1005C</w:t>
      </w:r>
      <w:r>
        <w:rPr>
          <w:rFonts w:ascii="Times New Roman" w:hAnsi="Times New Roman"/>
          <w:b w:val="false"/>
          <w:i w:val="false"/>
          <w:color w:val="000000"/>
          <w:sz w:val="21"/>
        </w:rPr>
        <w:t xml:space="preserve"> (Notice ARC 0792C, IAB 6/12/13)</w:t>
      </w:r>
      <w:r>
        <w:rPr>
          <w:rFonts w:ascii="Times New Roman" w:hAnsi="Times New Roman"/>
          <w:b w:val="false"/>
          <w:i w:val="false"/>
          <w:color w:val="000000"/>
          <w:sz w:val="21"/>
        </w:rPr>
        <w:t>, IAB 9/4/13, effective 10/9/13]</w:t>
      </w:r>
    </w:p>
    <w:p>
      <w:pPr>
        <w:spacing w:before="0" w:after="0"/>
        <w:ind w:left="120"/>
        <w:jc w:val="center"/>
      </w:pPr>
      <w:r>
        <w:rPr>
          <w:rFonts w:ascii="Times New Roman" w:hAnsi="Times New Roman"/>
          <w:b w:val="false"/>
          <w:i w:val="false"/>
          <w:color w:val="000000"/>
          <w:sz w:val="21"/>
        </w:rPr>
        <w:t>[Filed ARC 2151C</w:t>
      </w:r>
      <w:r>
        <w:rPr>
          <w:rFonts w:ascii="Times New Roman" w:hAnsi="Times New Roman"/>
          <w:b w:val="false"/>
          <w:i w:val="false"/>
          <w:color w:val="000000"/>
          <w:sz w:val="21"/>
        </w:rPr>
        <w:t xml:space="preserve"> (Notice ARC 2044C, IAB 6/24/15)</w:t>
      </w:r>
      <w:r>
        <w:rPr>
          <w:rFonts w:ascii="Times New Roman" w:hAnsi="Times New Roman"/>
          <w:b w:val="false"/>
          <w:i w:val="false"/>
          <w:color w:val="000000"/>
          <w:sz w:val="21"/>
        </w:rPr>
        <w:t>, IAB 9/16/15, effective 10/21/15]</w:t>
      </w:r>
    </w:p>
    <w:p>
      <w:pPr>
        <w:spacing w:before="0" w:after="0"/>
        <w:ind w:left="120"/>
        <w:jc w:val="center"/>
      </w:pPr>
      <w:r>
        <w:rPr>
          <w:rFonts w:ascii="Times New Roman" w:hAnsi="Times New Roman"/>
          <w:b w:val="false"/>
          <w:i w:val="false"/>
          <w:color w:val="000000"/>
          <w:sz w:val="21"/>
        </w:rPr>
        <w:t>[Filed ARC 3559C</w:t>
      </w:r>
      <w:r>
        <w:rPr>
          <w:rFonts w:ascii="Times New Roman" w:hAnsi="Times New Roman"/>
          <w:b w:val="false"/>
          <w:i w:val="false"/>
          <w:color w:val="000000"/>
          <w:sz w:val="21"/>
        </w:rPr>
        <w:t xml:space="preserve"> (Notice ARC 3409C, IAB 10/25/17)</w:t>
      </w:r>
      <w:r>
        <w:rPr>
          <w:rFonts w:ascii="Times New Roman" w:hAnsi="Times New Roman"/>
          <w:b w:val="false"/>
          <w:i w:val="false"/>
          <w:color w:val="000000"/>
          <w:sz w:val="21"/>
        </w:rPr>
        <w:t>, IAB 1/3/18, effective 2/7/18]</w:t>
      </w:r>
    </w:p>
    <w:p>
      <w:pPr>
        <w:spacing w:before="0" w:after="0"/>
        <w:ind w:left="120"/>
        <w:jc w:val="center"/>
      </w:pPr>
      <w:r>
        <w:rPr>
          <w:rFonts w:ascii="Times New Roman" w:hAnsi="Times New Roman"/>
          <w:b w:val="false"/>
          <w:i w:val="false"/>
          <w:color w:val="000000"/>
          <w:sz w:val="21"/>
        </w:rPr>
        <w:t>[Filed ARC 5756C</w:t>
      </w:r>
      <w:r>
        <w:rPr>
          <w:rFonts w:ascii="Times New Roman" w:hAnsi="Times New Roman"/>
          <w:b w:val="false"/>
          <w:i w:val="false"/>
          <w:color w:val="000000"/>
          <w:sz w:val="21"/>
        </w:rPr>
        <w:t xml:space="preserve"> (Notice ARC 5445C, IAB 2/24/21)</w:t>
      </w:r>
      <w:r>
        <w:rPr>
          <w:rFonts w:ascii="Times New Roman" w:hAnsi="Times New Roman"/>
          <w:b w:val="false"/>
          <w:i w:val="false"/>
          <w:color w:val="000000"/>
          <w:sz w:val="21"/>
        </w:rPr>
        <w:t>, IAB 7/14/21, effective 8/18/21]</w:t>
      </w:r>
    </w:p>
    <w:p>
      <w:pPr>
        <w:spacing w:before="0" w:after="0"/>
        <w:ind w:left="120"/>
        <w:jc w:val="center"/>
      </w:pPr>
      <w:r>
        <w:rPr>
          <w:rFonts w:ascii="Times New Roman" w:hAnsi="Times New Roman"/>
          <w:b w:val="false"/>
          <w:i w:val="false"/>
          <w:color w:val="000000"/>
          <w:sz w:val="21"/>
        </w:rPr>
        <w:t>[Filed ARC 7820C</w:t>
      </w:r>
      <w:r>
        <w:rPr>
          <w:rFonts w:ascii="Times New Roman" w:hAnsi="Times New Roman"/>
          <w:b w:val="false"/>
          <w:i w:val="false"/>
          <w:color w:val="000000"/>
          <w:sz w:val="21"/>
        </w:rPr>
        <w:t xml:space="preserve"> (Notice ARC 7486C, IAB 1/10/24)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[Editorial change: IAC Supplement 10/30/24]</w:t>
      </w:r>
    </w:p>
    <w:p>
      <w:pPr>
        <w:pBdr>
          <w:bottom w:space="2"/>
        </w:pBdr>
        <w:spacing w:before="0" w:after="0"/>
        <w:ind w:left="120"/>
        <w:jc w:val="both"/>
      </w:pPr>
      <w:r>
        <w:rPr>
          <w:rFonts w:ascii="Times New Roman" w:hAnsi="Times New Roman"/>
          <w:b w:val="false"/>
          <w:i w:val="false"/>
          <w:color w:val="000000"/>
          <w:sz w:val="22"/>
        </w:rPr>
        <w:t>April 13, 2011, effective date of 124.2(6) delayed 70 days by the Administrative Rules Review Committee at its meeting held April 11, 2011.</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www.ihsinfo.org" Type="http://schemas.openxmlformats.org/officeDocument/2006/relationships/hyperlink" Id="rId4"/>
    <Relationship TargetMode="External" Target="https://www.legis.iowa.gov/docs/ico/chapter/147.pdf" Type="http://schemas.openxmlformats.org/officeDocument/2006/relationships/hyperlink" Id="rId5"/>
    <Relationship TargetMode="External" Target="https://www.legis.iowa.gov/docs/ico/chapter/154A.pdf" Type="http://schemas.openxmlformats.org/officeDocument/2006/relationships/hyperlink" Id="rId6"/>
    <Relationship TargetMode="External" Target="https://www.legis.iowa.gov/docs/ico/chapter/272C.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