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OPEN ENROLLMENT AND OTHER ENROLLMENT OPTIONS</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OPEN ENROLLMENT</w:t>
      </w:r>
    </w:p>
    <w:p>
      <w:pPr>
        <w:spacing w:before="0" w:after="0"/>
        <w:ind w:left="120"/>
        <w:jc w:val="both"/>
      </w:pPr>
      <w:r>
        <w:rPr>
          <w:rFonts w:ascii="Times New Roman" w:hAnsi="Times New Roman"/>
          <w:b/>
          <w:i w:val="false"/>
          <w:color w:val="000000"/>
          <w:sz w:val="22"/>
        </w:rPr>
        <w:t>281—17.1</w:t>
      </w:r>
      <w:r>
        <w:rPr>
          <w:rFonts w:ascii="Times New Roman" w:hAnsi="Times New Roman"/>
          <w:b/>
          <w:i w:val="false"/>
          <w:color w:val="000000"/>
          <w:sz w:val="22"/>
        </w:rPr>
        <w:t xml:space="preserve">(282)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receiving district” </w:t>
      </w:r>
      <w:r>
        <w:rPr>
          <w:rFonts w:ascii="Times New Roman" w:hAnsi="Times New Roman"/>
          <w:b w:val="false"/>
          <w:i w:val="false"/>
          <w:color w:val="000000"/>
          <w:sz w:val="22"/>
        </w:rPr>
        <w:t xml:space="preserve">means a district to which a parent/guardian petitions for the open enrollment of a pupil from a receiving district. An alternative receiving district could be the district of residence of the parents/guardians.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“Attendance center” </w:t>
      </w:r>
      <w:r>
        <w:rPr>
          <w:rFonts w:ascii="Times New Roman" w:hAnsi="Times New Roman"/>
          <w:b w:val="false"/>
          <w:i w:val="false"/>
          <w:color w:val="000000"/>
          <w:sz w:val="22"/>
        </w:rPr>
        <w:t xml:space="preserve">means a public school building that contains classrooms used for instructional purposes for elementary, middle, or secondary school students.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“Court-ordered desegregation plan” </w:t>
      </w:r>
      <w:r>
        <w:rPr>
          <w:rFonts w:ascii="Times New Roman" w:hAnsi="Times New Roman"/>
          <w:b w:val="false"/>
          <w:i w:val="false"/>
          <w:color w:val="000000"/>
          <w:sz w:val="22"/>
        </w:rPr>
        <w:t xml:space="preserve">means a decree, judgment, or order entered by a court in response to a case or controversy alleging the district engaged in unlawful segregation. A desegregation plan is not “court-ordered” merely because a school district seeks approval of a voluntarily developed desegregation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enrollment” </w:t>
      </w:r>
      <w:r>
        <w:rPr>
          <w:rFonts w:ascii="Times New Roman" w:hAnsi="Times New Roman"/>
          <w:b w:val="false"/>
          <w:i w:val="false"/>
          <w:color w:val="000000"/>
          <w:sz w:val="22"/>
        </w:rPr>
        <w:t xml:space="preserve">is the procedure allowing a parent/guardian to enroll one or more pupils in a public school district other than the district of residence at no tuition cost to the parent.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“Receiving district” </w:t>
      </w:r>
      <w:r>
        <w:rPr>
          <w:rFonts w:ascii="Times New Roman" w:hAnsi="Times New Roman"/>
          <w:b w:val="false"/>
          <w:i w:val="false"/>
          <w:color w:val="000000"/>
          <w:sz w:val="22"/>
        </w:rPr>
        <w:t xml:space="preserve">is the public school district in which a parent/guardian desires to have the pupil enrolled or the district accepting the application for enrollment of a pupil under the provisions of Iowa Code section </w:t>
      </w:r>
      <w:hyperlink r:id="rId4">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district” </w:t>
      </w:r>
      <w:r>
        <w:rPr>
          <w:rFonts w:ascii="Times New Roman" w:hAnsi="Times New Roman"/>
          <w:b w:val="false"/>
          <w:i w:val="false"/>
          <w:color w:val="000000"/>
          <w:sz w:val="22"/>
        </w:rPr>
        <w:t>is the district of residence for school purposes of the parent/guardian and the district in which an open enrollment pupil will be counted for the purpose of generating state aid regardless of the district in which the pupil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“Sending district” </w:t>
      </w:r>
      <w:r>
        <w:rPr>
          <w:rFonts w:ascii="Times New Roman" w:hAnsi="Times New Roman"/>
          <w:b w:val="false"/>
          <w:i w:val="false"/>
          <w:color w:val="000000"/>
          <w:sz w:val="22"/>
        </w:rPr>
        <w:t xml:space="preserve">is synonymous with the term resident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“Sibling” </w:t>
      </w:r>
      <w:r>
        <w:rPr>
          <w:rFonts w:ascii="Times New Roman" w:hAnsi="Times New Roman"/>
          <w:b w:val="false"/>
          <w:i w:val="false"/>
          <w:color w:val="000000"/>
          <w:sz w:val="22"/>
        </w:rPr>
        <w:t xml:space="preserve">means a child residing primarily in the same household as the child for whom an open enrollment request is filed and who is related by adoption, blood or marriage to the child for whom an open enrollment request is filed. “Sibling” also includes a foster child who is placed in the same household as the child for whom an open enrollment request is filed.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281—17.2</w:t>
      </w:r>
      <w:r>
        <w:rPr>
          <w:rFonts w:ascii="Times New Roman" w:hAnsi="Times New Roman"/>
          <w:b/>
          <w:i w:val="false"/>
          <w:color w:val="000000"/>
          <w:sz w:val="22"/>
        </w:rPr>
        <w:t xml:space="preserve">(282)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The following procedure is to be used by parents/guardians and school districts in processing open enrollment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color w:val="000000"/>
          <w:sz w:val="22"/>
        </w:rPr>
        <w:t xml:space="preserve">Parent/guardian responsibilities.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governs the application process and responsibilities for parents/guardians and school districts. An application completed and submitted under this rule will include all information set forth in Iowa Code section </w:t>
      </w:r>
      <w:hyperlink r:id="rId6">
        <w:r>
          <w:rPr>
            <w:rStyle w:val="Hyperlink"/>
            <w:rFonts w:ascii="Times New Roman" w:hAnsi="Times New Roman"/>
            <w:b w:val="false"/>
            <w:i w:val="false"/>
            <w:color w:val="000000"/>
            <w:sz w:val="22"/>
          </w:rPr>
          <w:t>282.18(2)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color w:val="000000"/>
          <w:sz w:val="22"/>
        </w:rPr>
        <w:t xml:space="preserve">Petition for attendance in an alternative receiving district. </w:t>
      </w:r>
      <w:r>
        <w:rPr>
          <w:rFonts w:ascii="Times New Roman" w:hAnsi="Times New Roman"/>
          <w:b w:val="false"/>
          <w:i w:val="false"/>
          <w:color w:val="000000"/>
          <w:sz w:val="22"/>
        </w:rPr>
        <w:t xml:space="preserve">Once the pupil of a parent/guardian has been accepted for open enrollment, attendance in an alternative receiving district under open enrollment can be initiated by filing a petition for change with the receiving district. The timelines and notification provisions for such a request are the same as outlined in subrule </w:t>
      </w:r>
      <w:hyperlink r:id="rId7">
        <w:r>
          <w:rPr>
            <w:rStyle w:val="Hyperlink"/>
            <w:rFonts w:ascii="Times New Roman" w:hAnsi="Times New Roman"/>
            <w:b w:val="false"/>
            <w:i w:val="false"/>
            <w:color w:val="000000"/>
            <w:sz w:val="22"/>
          </w:rPr>
          <w:t>17.2(3)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the resident district takes no action on an open enrollment request except for a request made under rule </w:t>
      </w:r>
      <w:hyperlink r:id="rId8">
        <w:r>
          <w:rPr>
            <w:rStyle w:val="Hyperlink"/>
            <w:rFonts w:ascii="Times New Roman" w:hAnsi="Times New Roman"/>
            <w:b w:val="false"/>
            <w:i w:val="false"/>
            <w:color w:val="000000"/>
            <w:sz w:val="22"/>
          </w:rPr>
          <w:t>281—17.3</w:t>
        </w:r>
      </w:hyperlink>
      <w:r>
        <w:rPr>
          <w:rFonts w:ascii="Times New Roman" w:hAnsi="Times New Roman"/>
          <w:b w:val="false"/>
          <w:i w:val="false"/>
          <w:color w:val="000000"/>
          <w:sz w:val="22"/>
        </w:rPr>
        <w:t xml:space="preserve">(282). The parent/guardian may withdraw an open enrollment request any time prior to the board’s action on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the receiving district will act on an open enrollment request as outlined in Iowa Code section </w:t>
      </w:r>
      <w:hyperlink r:id="rId9">
        <w:r>
          <w:rPr>
            <w:rStyle w:val="Hyperlink"/>
            <w:rFonts w:ascii="Times New Roman" w:hAnsi="Times New Roman"/>
            <w:b w:val="false"/>
            <w:i w:val="false"/>
            <w:color w:val="000000"/>
            <w:sz w:val="22"/>
          </w:rPr>
          <w:t>282.18(2)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the receiving district will comply with the provisions of rule </w:t>
      </w:r>
      <w:hyperlink r:id="rId10">
        <w:r>
          <w:rPr>
            <w:rStyle w:val="Hyperlink"/>
            <w:rFonts w:ascii="Times New Roman" w:hAnsi="Times New Roman"/>
            <w:b w:val="false"/>
            <w:i w:val="false"/>
            <w:color w:val="000000"/>
            <w:sz w:val="22"/>
          </w:rPr>
          <w:t>281—17.10</w:t>
        </w:r>
      </w:hyperlink>
      <w:r>
        <w:rPr>
          <w:rFonts w:ascii="Times New Roman" w:hAnsi="Times New Roman"/>
          <w:b w:val="false"/>
          <w:i w:val="false"/>
          <w:color w:val="000000"/>
          <w:sz w:val="22"/>
        </w:rPr>
        <w:t xml:space="preserve">(282) if the application for open enrollment is for a pupil requiring special education as provided by Iowa Code chapter </w:t>
      </w:r>
      <w:hyperlink r:id="rId11">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 request to attend in an alternate receiving district, the alternative district will send notice of this action to the parent/guardian, to the original receiving district, and to the resident district of the pupil. Petitions for change will be for not less than one year. A pupil in good standing may return to the district of residence at any time following written notice from the parent/guardian to both the resident district and the receiving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September 30 of each school year, all districts must notify parents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assistance;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Possible loss of athletic eligibility for open enrollment pupils.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notification may be published in a school newsletter, a newspaper of general circulation, a website, or a parent handbook provided to all patrons of the district. This information will also be provided to any parent/guardian of a pupil who enrolls in the district during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w:t>
      </w:r>
      <w:r>
        <w:rPr>
          <w:rFonts w:ascii="Times New Roman" w:hAnsi="Times New Roman"/>
          <w:b w:val="false"/>
          <w:i w:val="false"/>
          <w:color w:val="000000"/>
          <w:sz w:val="22"/>
        </w:rPr>
        <w:t> </w:t>
      </w:r>
      <w:r>
        <w:rPr>
          <w:rFonts w:ascii="Times New Roman" w:hAnsi="Times New Roman"/>
          <w:b w:val="false"/>
          <w:i/>
          <w:color w:val="000000"/>
          <w:sz w:val="22"/>
        </w:rPr>
        <w:t xml:space="preserve">Exception to process when resident district is under court-ordered desegregation. </w:t>
      </w:r>
      <w:r>
        <w:rPr>
          <w:rFonts w:ascii="Times New Roman" w:hAnsi="Times New Roman"/>
          <w:b w:val="false"/>
          <w:i w:val="false"/>
          <w:color w:val="000000"/>
          <w:sz w:val="22"/>
        </w:rPr>
        <w:t xml:space="preserve">If the resident district has a court-ordered desegregation plan, the superintendent of the resident district may act upon the request for transfer as outlined in Iowa Code section </w:t>
      </w:r>
      <w:hyperlink r:id="rId12">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denial by the superintendent may be appealed following the procedures outlined in Iowa Code section </w:t>
      </w:r>
      <w:hyperlink r:id="rId13">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281—17.3</w:t>
      </w:r>
      <w:r>
        <w:rPr>
          <w:rFonts w:ascii="Times New Roman" w:hAnsi="Times New Roman"/>
          <w:b/>
          <w:i w:val="false"/>
          <w:color w:val="000000"/>
          <w:sz w:val="22"/>
        </w:rPr>
        <w:t xml:space="preserve">(282) </w:t>
      </w:r>
      <w:r>
        <w:rPr>
          <w:rFonts w:ascii="Times New Roman" w:hAnsi="Times New Roman"/>
          <w:b/>
          <w:i w:val="false"/>
          <w:color w:val="000000"/>
          <w:sz w:val="22"/>
        </w:rPr>
        <w:t xml:space="preserve">Court-ordered desegregation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These rules govern only the components of a court-ordered desegregation plan as the plan affects open enrollment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color w:val="000000"/>
          <w:sz w:val="22"/>
        </w:rPr>
        <w:t xml:space="preserve">Nature of court-ordered desegregation plan. </w:t>
      </w:r>
      <w:r>
        <w:rPr>
          <w:rFonts w:ascii="Times New Roman" w:hAnsi="Times New Roman"/>
          <w:b w:val="false"/>
          <w:i w:val="false"/>
          <w:color w:val="000000"/>
          <w:sz w:val="22"/>
        </w:rPr>
        <w:t>The language of the court order outlines a district’s implementation of open enrollment. The district will notify the department of any court-ordered desegregation plan and any court-ordered modifications to that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281—17.4</w:t>
      </w:r>
      <w:r>
        <w:rPr>
          <w:rFonts w:ascii="Times New Roman" w:hAnsi="Times New Roman"/>
          <w:b/>
          <w:i w:val="false"/>
          <w:color w:val="000000"/>
          <w:sz w:val="22"/>
        </w:rPr>
        <w:t xml:space="preserve">(282) </w:t>
      </w:r>
      <w:r>
        <w:rPr>
          <w:rFonts w:ascii="Times New Roman" w:hAnsi="Times New Roman"/>
          <w:b/>
          <w:i w:val="false"/>
          <w:color w:val="000000"/>
          <w:sz w:val="22"/>
        </w:rPr>
        <w:t xml:space="preserve">Open enrollment for kindergarten or certain prekindergarten programs. </w:t>
      </w:r>
      <w:r>
        <w:rPr>
          <w:rFonts w:ascii="Times New Roman" w:hAnsi="Times New Roman"/>
          <w:b w:val="false"/>
          <w:i w:val="false"/>
          <w:color w:val="000000"/>
          <w:sz w:val="22"/>
        </w:rPr>
        <w:t xml:space="preserve">A parent/guardian of a kindergarten pupil or a parent/guardian of a prekindergarten student enrolled in a special education program and eligible to be included in the resident school district’s basic enrollment under Iowa Code section </w:t>
      </w:r>
      <w:hyperlink r:id="rId14">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 xml:space="preserve">(1) may request to enroll the pupil or student in a district other than the district of residence. In considering an application under this rule, the resident and the receiving district are not precluded from administering board-adopted policies related to insufficient classroom space, the provisions of rule </w:t>
      </w:r>
      <w:hyperlink r:id="rId15">
        <w:r>
          <w:rPr>
            <w:rStyle w:val="Hyperlink"/>
            <w:rFonts w:ascii="Times New Roman" w:hAnsi="Times New Roman"/>
            <w:b w:val="false"/>
            <w:i w:val="false"/>
            <w:color w:val="000000"/>
            <w:sz w:val="22"/>
          </w:rPr>
          <w:t>281—17.11</w:t>
        </w:r>
      </w:hyperlink>
      <w:r>
        <w:rPr>
          <w:rFonts w:ascii="Times New Roman" w:hAnsi="Times New Roman"/>
          <w:b w:val="false"/>
          <w:i w:val="false"/>
          <w:color w:val="000000"/>
          <w:sz w:val="22"/>
        </w:rPr>
        <w:t>(282), or the provisions of a desegregation order. As an alternative procedure, the receiving board may, by policy, authorize the superintendent to approve, but not deny, applications filed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281—17.5</w:t>
      </w:r>
      <w:r>
        <w:rPr>
          <w:rFonts w:ascii="Times New Roman" w:hAnsi="Times New Roman"/>
          <w:b/>
          <w:i w:val="false"/>
          <w:color w:val="000000"/>
          <w:sz w:val="22"/>
        </w:rPr>
        <w:t xml:space="preserve">(282) </w:t>
      </w:r>
      <w:r>
        <w:rPr>
          <w:rFonts w:ascii="Times New Roman" w:hAnsi="Times New Roman"/>
          <w:b/>
          <w:i w:val="false"/>
          <w:color w:val="000000"/>
          <w:sz w:val="22"/>
        </w:rPr>
        <w:t xml:space="preserve">Open enrollment and online coursework.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school district may provide courses developed by private providers and delivered primarily over the Internet to pupils who are participating in open enrollment under Iowa Code section </w:t>
      </w:r>
      <w:hyperlink r:id="rId16">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However, if a student’s participation in open enrollment to receive educational instruction and course content delivered primarily over the Internet results in the termination of enrollment in the receiving district, the receiving district will, within 30 days of the termination, notify the district of residence of the termination and the date of the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activities in the resident district. </w:t>
      </w:r>
      <w:r>
        <w:rPr>
          <w:rFonts w:ascii="Times New Roman" w:hAnsi="Times New Roman"/>
          <w:b w:val="false"/>
          <w:i w:val="false"/>
          <w:color w:val="000000"/>
          <w:sz w:val="22"/>
        </w:rPr>
        <w:t xml:space="preserve">A pupil participating in open enrollment for purposes of receiving educational instruction and course content primarily over the Internet in accordance with Iowa Code section </w:t>
      </w:r>
      <w:hyperlink r:id="rId17">
        <w:r>
          <w:rPr>
            <w:rStyle w:val="Hyperlink"/>
            <w:rFonts w:ascii="Times New Roman" w:hAnsi="Times New Roman"/>
            <w:b w:val="false"/>
            <w:i w:val="false"/>
            <w:color w:val="000000"/>
            <w:sz w:val="22"/>
          </w:rPr>
          <w:t>256.7(32)</w:t>
        </w:r>
      </w:hyperlink>
      <w:r>
        <w:rPr>
          <w:rFonts w:ascii="Times New Roman" w:hAnsi="Times New Roman"/>
          <w:b w:val="false"/>
          <w:i w:val="false"/>
          <w:color w:val="000000"/>
          <w:sz w:val="22"/>
        </w:rPr>
        <w:t xml:space="preserve"> may participate in any cocurricular or extracurricular activities offered to children in the pupil’s grade or group and sponsored by the district of residence under the same conditions and requirements as the pupils enrolled in the district of residence. The pupil may participate in not more than two cocurricular or extracurricular activities during a school year unless the resident district approves the student’s participation in additional activities. The student will comply with the eligibility, conduct, and other requirements relating to the activity that are established by the district of residence for any student who applies to participate or who is participating in the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281—17.6</w:t>
      </w:r>
      <w:r>
        <w:rPr>
          <w:rFonts w:ascii="Times New Roman" w:hAnsi="Times New Roman"/>
          <w:b/>
          <w:i w:val="false"/>
          <w:color w:val="000000"/>
          <w:sz w:val="22"/>
        </w:rPr>
        <w:t xml:space="preserve">(282) </w:t>
      </w:r>
      <w:r>
        <w:rPr>
          <w:rFonts w:ascii="Times New Roman" w:hAnsi="Times New Roman"/>
          <w:b/>
          <w:i w:val="false"/>
          <w:color w:val="000000"/>
          <w:sz w:val="22"/>
        </w:rPr>
        <w:t xml:space="preserve">Limitations on open enrollment requests. </w:t>
      </w:r>
      <w:r>
        <w:rPr>
          <w:rFonts w:ascii="Times New Roman" w:hAnsi="Times New Roman"/>
          <w:b w:val="false"/>
          <w:i w:val="false"/>
          <w:color w:val="000000"/>
          <w:sz w:val="22"/>
        </w:rPr>
        <w:t>A district board may apply the following provisions related to open enrollment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color w:val="000000"/>
          <w:sz w:val="22"/>
        </w:rPr>
        <w:t xml:space="preserve">Court-ordered desegregation plans. </w:t>
      </w:r>
      <w:r>
        <w:rPr>
          <w:rFonts w:ascii="Times New Roman" w:hAnsi="Times New Roman"/>
          <w:b w:val="false"/>
          <w:i w:val="false"/>
          <w:color w:val="000000"/>
          <w:sz w:val="22"/>
        </w:rPr>
        <w:t xml:space="preserve">If the resident district has a court-ordered desegregation plan, the superintendent of the resident district may act upon the request for transfer as outlined in Iowa Code section </w:t>
      </w:r>
      <w:hyperlink r:id="rId18">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denial by the superintendent may be appealed following the procedures outlined in Iowa Code section </w:t>
      </w:r>
      <w:hyperlink r:id="rId19">
        <w:r>
          <w:rPr>
            <w:rStyle w:val="Hyperlink"/>
            <w:rFonts w:ascii="Times New Roman" w:hAnsi="Times New Roman"/>
            <w:b w:val="false"/>
            <w:i w:val="false"/>
            <w:color w:val="000000"/>
            <w:sz w:val="22"/>
          </w:rPr>
          <w:t>282.18(3)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color w:val="000000"/>
          <w:sz w:val="22"/>
        </w:rPr>
        <w:t xml:space="preserve">Policy on insufficient classroom space. </w:t>
      </w:r>
      <w:r>
        <w:rPr>
          <w:rFonts w:ascii="Times New Roman" w:hAnsi="Times New Roman"/>
          <w:b w:val="false"/>
          <w:i w:val="false"/>
          <w:color w:val="000000"/>
          <w:sz w:val="22"/>
        </w:rPr>
        <w:t xml:space="preserve">No receiving district is required to accept an open enrollment request if it has insufficient classroom space to accommodate the pupil(s). Each district board must adopt a policy which defines the term “insufficient classroom space” for that district. This policy will establish a basis for the district to make determinations on the acceptance or denial, as a receiving district, of an open enrollment request. This policy may include, but is not limited to, one or more of the following: nature of the educational program, grade level, available instructional staff, instructional method, physical space, pupil-teacher ratio, equipment and materials, facilities either being planned or under construction, facilities planned to be closed, finances available, sharing agreement in force or planned, bargaining agreement in force, special education class size or caseload established pursuant to rule </w:t>
      </w:r>
      <w:hyperlink r:id="rId20">
        <w:r>
          <w:rPr>
            <w:rStyle w:val="Hyperlink"/>
            <w:rFonts w:ascii="Times New Roman" w:hAnsi="Times New Roman"/>
            <w:b w:val="false"/>
            <w:i w:val="false"/>
            <w:color w:val="000000"/>
            <w:sz w:val="22"/>
          </w:rPr>
          <w:t>281—41.408</w:t>
        </w:r>
      </w:hyperlink>
      <w:r>
        <w:rPr>
          <w:rFonts w:ascii="Times New Roman" w:hAnsi="Times New Roman"/>
          <w:b w:val="false"/>
          <w:i w:val="false"/>
          <w:color w:val="000000"/>
          <w:sz w:val="22"/>
        </w:rPr>
        <w:t xml:space="preserve">(256B,273,34CFR300), or board-adopted district educational goals and objectives. This policy will be reviewed annually by the district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attendance center. </w:t>
      </w:r>
      <w:r>
        <w:rPr>
          <w:rFonts w:ascii="Times New Roman" w:hAnsi="Times New Roman"/>
          <w:b w:val="false"/>
          <w:i w:val="false"/>
          <w:color w:val="000000"/>
          <w:sz w:val="22"/>
        </w:rPr>
        <w:t xml:space="preserve">The right of a parent/guardian to request open enrollment is to a district other than the district of residence, not to an attendance center within the nonresident district. In accepting an open enrollment pupil, the receiving district board has the same authority it has in regard to its resident pupils as provided by Iowa Code section </w:t>
      </w:r>
      <w:hyperlink r:id="rId21">
        <w:r>
          <w:rPr>
            <w:rStyle w:val="Hyperlink"/>
            <w:rFonts w:ascii="Times New Roman" w:hAnsi="Times New Roman"/>
            <w:b w:val="false"/>
            <w:i w:val="false"/>
            <w:color w:val="000000"/>
            <w:sz w:val="22"/>
          </w:rPr>
          <w:t>279.11</w:t>
        </w:r>
      </w:hyperlink>
      <w:r>
        <w:rPr>
          <w:rFonts w:ascii="Times New Roman" w:hAnsi="Times New Roman"/>
          <w:b w:val="false"/>
          <w:i w:val="false"/>
          <w:color w:val="000000"/>
          <w:sz w:val="22"/>
        </w:rPr>
        <w:t>, to “determine the particular school which each child shall attend.” In the application process, however, the parent or guardian may request an attendance center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color w:val="000000"/>
          <w:sz w:val="22"/>
        </w:rPr>
        <w:t xml:space="preserve">Expelled or suspended students. </w:t>
      </w:r>
      <w:r>
        <w:rPr>
          <w:rFonts w:ascii="Times New Roman" w:hAnsi="Times New Roman"/>
          <w:b w:val="false"/>
          <w:i w:val="false"/>
          <w:color w:val="000000"/>
          <w:sz w:val="22"/>
        </w:rPr>
        <w:t xml:space="preserve">A pupil who has been suspended or expelled by action of the administration or board of the resident district is not permitted to enroll if an open enrollment request is filed until the pupil is reinstated for school attendance in the resident district. Once reinstated, the application for open enrollment will be considered in the same manner as any other open enrollment request. If a pupil for whom an open enrollment request has been filed is subsequently expelled by action of the resident district board, the pupil may be denied enrollment by the receiving district board until the pupil is reinstated for school attendance by the resident district. The provisions of this subrule also apply to a pupil who has been suspended or expelled in a receiving district and is requesting open enrollment to an alternative receiving district or is seeking to return to the resident district as outlined in subrule </w:t>
      </w:r>
      <w:hyperlink r:id="rId22">
        <w:r>
          <w:rPr>
            <w:rStyle w:val="Hyperlink"/>
            <w:rFonts w:ascii="Times New Roman" w:hAnsi="Times New Roman"/>
            <w:b w:val="false"/>
            <w:i w:val="false"/>
            <w:color w:val="000000"/>
            <w:sz w:val="22"/>
          </w:rPr>
          <w:t>17.2(3)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interscholastic athletic contests and competitions. </w:t>
      </w:r>
      <w:r>
        <w:rPr>
          <w:rFonts w:ascii="Times New Roman" w:hAnsi="Times New Roman"/>
          <w:b w:val="false"/>
          <w:i w:val="false"/>
          <w:color w:val="000000"/>
          <w:sz w:val="22"/>
        </w:rPr>
        <w:t xml:space="preserve">A student in grades 9 through 12 whose transfer of schools had occurred due to a request for open enrollment by the student’s parent or guardian is ineligible to compete in interscholastic athletics during the first 90 school days of transfer except that a student may participate immediately if the student is entering grade 9 for the first time and did not participate in an interscholastic athletic competition for another school during the summer immediately following eighth grade. The period of ineligibility applies only to varsity-level contests and competitions. (“Varsity” means the highest level of competition offered by one school or school district against the highest level of competition offered by an opposing school or school district.) If a pupil is declared ineligible for interscholastic athletic contests and athletic competitions in the pupil’s district of residence due to the pupil’s academic performance, upon participating in open enrollment, in addition to any other period of ineligibility under this rule, the pupil will be ineligible in the receiving district for the remaining period of ineligibility declared by the district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period of ineligibility does not apply if the board of directors of the district of residence and the board of directors of the receiving district both agree to waive the ineligibility period or under any reason outlined in Iowa Code section </w:t>
      </w:r>
      <w:hyperlink r:id="rId23">
        <w:r>
          <w:rPr>
            <w:rStyle w:val="Hyperlink"/>
            <w:rFonts w:ascii="Times New Roman" w:hAnsi="Times New Roman"/>
            <w:b w:val="false"/>
            <w:i w:val="false"/>
            <w:color w:val="000000"/>
            <w:sz w:val="22"/>
          </w:rPr>
          <w:t>282.18(9)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 district may charge the receiving district for participation in cocurricular or extracurricular activities in accordance with Iowa Code section </w:t>
      </w:r>
      <w:hyperlink r:id="rId24">
        <w:r>
          <w:rPr>
            <w:rStyle w:val="Hyperlink"/>
            <w:rFonts w:ascii="Times New Roman" w:hAnsi="Times New Roman"/>
            <w:b w:val="false"/>
            <w:i w:val="false"/>
            <w:color w:val="000000"/>
            <w:sz w:val="22"/>
          </w:rPr>
          <w:t>282.18(5)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281—17.7</w:t>
      </w:r>
      <w:r>
        <w:rPr>
          <w:rFonts w:ascii="Times New Roman" w:hAnsi="Times New Roman"/>
          <w:b/>
          <w:i w:val="false"/>
          <w:color w:val="000000"/>
          <w:sz w:val="22"/>
        </w:rPr>
        <w:t xml:space="preserve">(282) </w:t>
      </w:r>
      <w:r>
        <w:rPr>
          <w:rFonts w:ascii="Times New Roman" w:hAnsi="Times New Roman"/>
          <w:b/>
          <w:i w:val="false"/>
          <w:color w:val="000000"/>
          <w:sz w:val="22"/>
        </w:rPr>
        <w:t xml:space="preserve">Provisions applicable to parents/guardians and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w:t>
      </w:r>
      <w:r>
        <w:rPr>
          <w:rFonts w:ascii="Times New Roman" w:hAnsi="Times New Roman"/>
          <w:b w:val="false"/>
          <w:i w:val="false"/>
          <w:color w:val="000000"/>
          <w:sz w:val="22"/>
        </w:rPr>
        <w:t> </w:t>
      </w:r>
      <w:r>
        <w:rPr>
          <w:rFonts w:ascii="Times New Roman" w:hAnsi="Times New Roman"/>
          <w:b w:val="false"/>
          <w:i/>
          <w:color w:val="000000"/>
          <w:sz w:val="22"/>
        </w:rPr>
        <w:t xml:space="preserve">Renewal of an open enrollment agreement. </w:t>
      </w:r>
      <w:r>
        <w:rPr>
          <w:rFonts w:ascii="Times New Roman" w:hAnsi="Times New Roman"/>
          <w:b w:val="false"/>
          <w:i w:val="false"/>
          <w:color w:val="000000"/>
          <w:sz w:val="22"/>
        </w:rPr>
        <w:t xml:space="preserve">An open enrollment agreement remains in place unless canceled by the parent/guardian or terminated as outlined in the provisions of subrule </w:t>
      </w:r>
      <w:hyperlink r:id="rId25">
        <w:r>
          <w:rPr>
            <w:rStyle w:val="Hyperlink"/>
            <w:rFonts w:ascii="Times New Roman" w:hAnsi="Times New Roman"/>
            <w:b w:val="false"/>
            <w:i w:val="false"/>
            <w:color w:val="000000"/>
            <w:sz w:val="22"/>
          </w:rPr>
          <w:t>17.7(5)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residence when participating in open enrollment. </w:t>
      </w:r>
      <w:r>
        <w:rPr>
          <w:rFonts w:ascii="Times New Roman" w:hAnsi="Times New Roman"/>
          <w:b w:val="false"/>
          <w:i w:val="false"/>
          <w:color w:val="000000"/>
          <w:sz w:val="22"/>
        </w:rPr>
        <w:t>If the parent/guardian of a pupil who is participating in open enrollment changes the school district of residence during the term of the agreement, the parent/guardian has the option to leave the pupil in the receiving district under open enrollment or to enroll the pupil in the new district of residence, thus terminating the open enrollment agreement.</w:t>
      </w:r>
    </w:p>
    <w:p>
      <w:pPr>
        <w:spacing w:before="0" w:after="0"/>
        <w:ind w:left="120"/>
        <w:jc w:val="both"/>
      </w:pPr>
      <w:r>
        <w:rPr>
          <w:rFonts w:ascii="Times New Roman" w:hAnsi="Times New Roman"/>
          <w:b w:val="false"/>
          <w:i w:val="false"/>
          <w:color w:val="000000"/>
          <w:sz w:val="22"/>
        </w:rPr>
        <w:t xml:space="preserve">If the pupil is to remain under open enrollment or to open enroll to another school district, the parent/guardian will write a letter, delivered by mail, by hand, or by electronic means, to notify the original resident district, the new resident district, and the receiving district of this decision. Requests under this rule shall not be denied. If the request is for a high school pupil, the pupil is not subject to the initial 90-school-day ineligibility period of subrule </w:t>
      </w:r>
      <w:hyperlink r:id="rId26">
        <w:r>
          <w:rPr>
            <w:rStyle w:val="Hyperlink"/>
            <w:rFonts w:ascii="Times New Roman" w:hAnsi="Times New Roman"/>
            <w:b w:val="false"/>
            <w:i w:val="false"/>
            <w:color w:val="000000"/>
            <w:sz w:val="22"/>
          </w:rPr>
          <w:t>17.6(5)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residence when not participating in open enrollment. </w:t>
      </w:r>
      <w:r>
        <w:rPr>
          <w:rFonts w:ascii="Times New Roman" w:hAnsi="Times New Roman"/>
          <w:b w:val="false"/>
          <w:i w:val="false"/>
          <w:color w:val="000000"/>
          <w:sz w:val="22"/>
        </w:rPr>
        <w:t xml:space="preserve">If a parent/guardian moves out of the school district of residence, and the pupil is not currently under open enrollment, the parent/guardian has the option for the pupil to remain in the original district of residence as an open enrollment pupil with no interruption in the education program. The parent/guardian exercising this option will file an open enrollment request form with the new district of residence for processing and record purposes. Requests under this subrule shall not be denied. If the request is for a high school pupil, the pupil is not subject to the initial 90-school-day ineligibility period of </w:t>
      </w:r>
      <w:hyperlink r:id="rId27">
        <w:r>
          <w:rPr>
            <w:rStyle w:val="Hyperlink"/>
            <w:rFonts w:ascii="Times New Roman" w:hAnsi="Times New Roman"/>
            <w:b w:val="false"/>
            <w:i w:val="false"/>
            <w:color w:val="000000"/>
            <w:sz w:val="22"/>
          </w:rPr>
          <w:t>subrule 17.6(5)</w:t>
        </w:r>
      </w:hyperlink>
      <w:r>
        <w:rPr>
          <w:rFonts w:ascii="Times New Roman" w:hAnsi="Times New Roman"/>
          <w:b w:val="false"/>
          <w:i w:val="false"/>
          <w:color w:val="000000"/>
          <w:sz w:val="22"/>
        </w:rPr>
        <w:t xml:space="preserve">. If the move is on or after the date specified in Iowa Code section </w:t>
      </w:r>
      <w:hyperlink r:id="rId28">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 xml:space="preserve">, the new district of residence is not required to pay per-pupil costs or applicable weighting or special education costs to the receiving district until the first full year of the open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applies in the following circumstances: a change in family residence, a change in a child’s residence from the residence of one parent or guardian to the residence of a different parent or guardian, a change in the state in which the family residence is located, a change in a child’s parents’ marital status, a guardianship proceeding, placement in foster care, adoption, participation in a foreign exchange program, or participation in a substance abuse or mental health treatment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to the following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who is enrolled in any grade from kindergarten through grade 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prekindergarten student who is enrolled in a special education program at the time of the request and is not currently using any provision of open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w:t>
      </w:r>
      <w:r>
        <w:rPr>
          <w:rFonts w:ascii="Times New Roman" w:hAnsi="Times New Roman"/>
          <w:b w:val="false"/>
          <w:i w:val="false"/>
          <w:color w:val="000000"/>
          <w:sz w:val="22"/>
        </w:rPr>
        <w:t> </w:t>
      </w:r>
      <w:r>
        <w:rPr>
          <w:rFonts w:ascii="Times New Roman" w:hAnsi="Times New Roman"/>
          <w:b w:val="false"/>
          <w:i/>
          <w:color w:val="000000"/>
          <w:sz w:val="22"/>
        </w:rPr>
        <w:t xml:space="preserve">Pupil governance. </w:t>
      </w:r>
      <w:r>
        <w:rPr>
          <w:rFonts w:ascii="Times New Roman" w:hAnsi="Times New Roman"/>
          <w:b w:val="false"/>
          <w:i w:val="false"/>
          <w:color w:val="000000"/>
          <w:sz w:val="22"/>
        </w:rPr>
        <w:t>An open enrollment pupil and, where applicable, the pupil’s parent/guardian is governed by the rules and policies established by the board of directors of the receiving district. Any complaint or appeal by the parent/guardian concerning the educational system, its process, or administration in the receiving district will be initially directed to the board of directors of that district in compliance with the policy of that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termination. </w:t>
      </w:r>
      <w:r>
        <w:rPr>
          <w:rFonts w:ascii="Times New Roman" w:hAnsi="Times New Roman"/>
          <w:b w:val="false"/>
          <w:i w:val="false"/>
          <w:color w:val="000000"/>
          <w:sz w:val="22"/>
        </w:rPr>
        <w:t xml:space="preserve">Open enrollment ends when: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pupil graduates, moves into the receiving district, moves into a third district and does not elect to continue attending in the receiving district, moves out of state, elects to attend a nonpublic school instead of the receiving district, or any other circumstance not excepted below that results in the pupil no longer attending the receiving district. </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This rule does not apply if the pupil is placed temporarily in foster care, a juvenile detention center, mental health or substance abuse treatment facility, or other similar placement. In such cases, the open enrollment status will automatically be reinstated when the pupil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pupil drops out of school. In this instance, if the pupil desires to return to the resident district during the term of the original open enrollment, notice will be given as outlined in the provisions of </w:t>
      </w:r>
      <w:hyperlink r:id="rId29">
        <w:r>
          <w:rPr>
            <w:rStyle w:val="Hyperlink"/>
            <w:rFonts w:ascii="Times New Roman" w:hAnsi="Times New Roman"/>
            <w:b w:val="false"/>
            <w:i w:val="false"/>
            <w:color w:val="000000"/>
            <w:sz w:val="22"/>
          </w:rPr>
          <w:t>subrule 17.2(3)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281—17.8</w:t>
      </w:r>
      <w:r>
        <w:rPr>
          <w:rFonts w:ascii="Times New Roman" w:hAnsi="Times New Roman"/>
          <w:b/>
          <w:i w:val="false"/>
          <w:color w:val="000000"/>
          <w:sz w:val="22"/>
        </w:rPr>
        <w:t xml:space="preserve">(282) </w:t>
      </w:r>
      <w:r>
        <w:rPr>
          <w:rFonts w:ascii="Times New Roman" w:hAnsi="Times New Roman"/>
          <w:b/>
          <w:i w:val="false"/>
          <w:color w:val="000000"/>
          <w:sz w:val="22"/>
        </w:rPr>
        <w:t xml:space="preserve">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Parent responsibilities. </w:t>
      </w:r>
      <w:r>
        <w:rPr>
          <w:rFonts w:ascii="Times New Roman" w:hAnsi="Times New Roman"/>
          <w:b w:val="false"/>
          <w:i w:val="false"/>
          <w:color w:val="000000"/>
          <w:sz w:val="22"/>
        </w:rPr>
        <w:t xml:space="preserve">The parent/guardian of a pupil who has been accepted for open enrollment is to be responsible to transport the pupil without reimbursement, except as provided in subrule </w:t>
      </w:r>
      <w:hyperlink r:id="rId30">
        <w:r>
          <w:rPr>
            <w:rStyle w:val="Hyperlink"/>
            <w:rFonts w:ascii="Times New Roman" w:hAnsi="Times New Roman"/>
            <w:b w:val="false"/>
            <w:i w:val="false"/>
            <w:color w:val="000000"/>
            <w:sz w:val="22"/>
          </w:rPr>
          <w:t>17.8(2)</w:t>
        </w:r>
      </w:hyperlink>
      <w:r>
        <w:rPr>
          <w:rFonts w:ascii="Times New Roman" w:hAnsi="Times New Roman"/>
          <w:b w:val="false"/>
          <w:i w:val="false"/>
          <w:color w:val="000000"/>
          <w:sz w:val="22"/>
        </w:rPr>
        <w:t xml:space="preserve">, to a point on a regular school bus route of the receiving district as defined in Iowa Code section </w:t>
      </w:r>
      <w:hyperlink r:id="rId31">
        <w:r>
          <w:rPr>
            <w:rStyle w:val="Hyperlink"/>
            <w:rFonts w:ascii="Times New Roman" w:hAnsi="Times New Roman"/>
            <w:b w:val="false"/>
            <w:i w:val="false"/>
            <w:color w:val="000000"/>
            <w:sz w:val="22"/>
          </w:rPr>
          <w:t>282.18(8)</w:t>
        </w:r>
      </w:hyperlink>
      <w:r>
        <w:rPr>
          <w:rFonts w:ascii="Times New Roman" w:hAnsi="Times New Roman"/>
          <w:b w:val="false"/>
          <w:i/>
          <w:color w:val="000000"/>
          <w:sz w:val="22"/>
        </w:rPr>
        <w:t>“a.”</w:t>
      </w:r>
      <w:r>
        <w:rPr>
          <w:rFonts w:ascii="Times New Roman" w:hAnsi="Times New Roman"/>
          <w:b w:val="false"/>
          <w:i w:val="false"/>
          <w:color w:val="000000"/>
          <w:sz w:val="22"/>
        </w:rPr>
        <w:t xml:space="preserve"> A receiving district may send buses into a resident district solely for the purpose of transporting an open enrollment pupil if the boards of both the sending and receiving districts agree to this arrangement. Bus routes that are outside the boundary of the receiving district that have been authorized by an area education agency board of directors, as provided by Iowa Code section </w:t>
      </w:r>
      <w:hyperlink r:id="rId32">
        <w:r>
          <w:rPr>
            <w:rStyle w:val="Hyperlink"/>
            <w:rFonts w:ascii="Times New Roman" w:hAnsi="Times New Roman"/>
            <w:b w:val="false"/>
            <w:i w:val="false"/>
            <w:color w:val="000000"/>
            <w:sz w:val="22"/>
          </w:rPr>
          <w:t>285.9(3)</w:t>
        </w:r>
      </w:hyperlink>
      <w:r>
        <w:rPr>
          <w:rFonts w:ascii="Times New Roman" w:hAnsi="Times New Roman"/>
          <w:b w:val="false"/>
          <w:i w:val="false"/>
          <w:color w:val="000000"/>
          <w:sz w:val="22"/>
        </w:rPr>
        <w:t>, may be used to transport open enrollment pupils if boards of directors of the resident and receiving districts have both acted to approve such an arrangement. Bus routes that have been established by the receiving district for the purpose of transporting nonpublic school or special education pupils that operate in the resident district of an open enrollment pupil cannot be utilized for the transportation of such pupil for the portion of the route that is within the resident district unless the boards of directors of the resident and receiving districts have both acted to approve such an arrangement. Bus routes transporting pupils for the purpose of whole-grade sharing cannot be used to transport open enrollment pupils for the portion of the route that is within the resident district unless the boards of directors of the resident and receiving districts have both acted to approve such an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Economic qualifications, eligibility and provisions for transportation assistance. </w:t>
      </w:r>
      <w:r>
        <w:rPr>
          <w:rFonts w:ascii="Times New Roman" w:hAnsi="Times New Roman"/>
          <w:b w:val="false"/>
          <w:i w:val="false"/>
          <w:color w:val="000000"/>
          <w:sz w:val="22"/>
        </w:rPr>
        <w:t xml:space="preserve">Open enrollment pupils who meet the economic eligibility provisions established by the department of education will receive transportation assistance from their resident district under the terms and conditions established by the department and state board of education as outlined in Iowa Code section </w:t>
      </w:r>
      <w:hyperlink r:id="rId33">
        <w:r>
          <w:rPr>
            <w:rStyle w:val="Hyperlink"/>
            <w:rFonts w:ascii="Times New Roman" w:hAnsi="Times New Roman"/>
            <w:b w:val="false"/>
            <w:i w:val="false"/>
            <w:color w:val="000000"/>
            <w:sz w:val="22"/>
          </w:rPr>
          <w:t>282.18(8)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resident district may withhold from the amount it is required to pay to a receiving district for an open enrollment pupil the actual amount or the average cost per pupil transported amount it pays for transportation assistance, whichever is the lesser amount.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281—17.9</w:t>
      </w:r>
      <w:r>
        <w:rPr>
          <w:rFonts w:ascii="Times New Roman" w:hAnsi="Times New Roman"/>
          <w:b/>
          <w:i w:val="false"/>
          <w:color w:val="000000"/>
          <w:sz w:val="22"/>
        </w:rPr>
        <w:t xml:space="preserve">(282) </w:t>
      </w:r>
      <w:r>
        <w:rPr>
          <w:rFonts w:ascii="Times New Roman" w:hAnsi="Times New Roman"/>
          <w:b/>
          <w:i w:val="false"/>
          <w:color w:val="000000"/>
          <w:sz w:val="22"/>
        </w:rPr>
        <w:t xml:space="preserve">Method of finance. </w:t>
      </w:r>
      <w:r>
        <w:rPr>
          <w:rFonts w:ascii="Times New Roman" w:hAnsi="Times New Roman"/>
          <w:b w:val="false"/>
          <w:i w:val="false"/>
          <w:color w:val="000000"/>
          <w:sz w:val="22"/>
        </w:rPr>
        <w:t>Open enrollment options are available for pupils at no instructional cost to their parents/guardians. Open enrollment pupils are considered enrolled resident pupils in the resident district and are included in the certified enrollment count of that district for the purposes of generating school foundation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color w:val="000000"/>
          <w:sz w:val="22"/>
        </w:rPr>
        <w:t xml:space="preserve">Full-time pupils. </w:t>
      </w:r>
      <w:r>
        <w:rPr>
          <w:rFonts w:ascii="Times New Roman" w:hAnsi="Times New Roman"/>
          <w:b w:val="false"/>
          <w:i w:val="false"/>
          <w:color w:val="000000"/>
          <w:sz w:val="22"/>
        </w:rPr>
        <w:t xml:space="preserve">The resident district will pay each year to the receiving district an amount equal to the sum of the state cost per pupil for the previous year; plus any moneys received pursuant to Iowa Code section </w:t>
      </w:r>
      <w:hyperlink r:id="rId34">
        <w:r>
          <w:rPr>
            <w:rStyle w:val="Hyperlink"/>
            <w:rFonts w:ascii="Times New Roman" w:hAnsi="Times New Roman"/>
            <w:b w:val="false"/>
            <w:i w:val="false"/>
            <w:color w:val="000000"/>
            <w:sz w:val="22"/>
          </w:rPr>
          <w:t>282.18(7)</w:t>
        </w:r>
      </w:hyperlink>
      <w:r>
        <w:rPr>
          <w:rFonts w:ascii="Times New Roman" w:hAnsi="Times New Roman"/>
          <w:b w:val="false"/>
          <w:i/>
          <w:color w:val="000000"/>
          <w:sz w:val="22"/>
        </w:rPr>
        <w:t>“b”</w:t>
      </w:r>
      <w:r>
        <w:rPr>
          <w:rFonts w:ascii="Times New Roman" w:hAnsi="Times New Roman"/>
          <w:b w:val="false"/>
          <w:i w:val="false"/>
          <w:color w:val="000000"/>
          <w:sz w:val="22"/>
        </w:rPr>
        <w:t xml:space="preserve">(1). If the pupil participating in open enrollment is also an eligible pupil under Iowa Code section </w:t>
      </w:r>
      <w:hyperlink r:id="rId35">
        <w:r>
          <w:rPr>
            <w:rStyle w:val="Hyperlink"/>
            <w:rFonts w:ascii="Times New Roman" w:hAnsi="Times New Roman"/>
            <w:b w:val="false"/>
            <w:i w:val="false"/>
            <w:color w:val="000000"/>
            <w:sz w:val="22"/>
          </w:rPr>
          <w:t>261E.6</w:t>
        </w:r>
      </w:hyperlink>
      <w:r>
        <w:rPr>
          <w:rFonts w:ascii="Times New Roman" w:hAnsi="Times New Roman"/>
          <w:b w:val="false"/>
          <w:i w:val="false"/>
          <w:color w:val="000000"/>
          <w:sz w:val="22"/>
        </w:rPr>
        <w:t xml:space="preserve"> (postsecondary enrollment options program), the receiving district will pay the tuition reimbursement amount to an eligible postsecondary institution as provided in Iowa Code section </w:t>
      </w:r>
      <w:hyperlink r:id="rId36">
        <w:r>
          <w:rPr>
            <w:rStyle w:val="Hyperlink"/>
            <w:rFonts w:ascii="Times New Roman" w:hAnsi="Times New Roman"/>
            <w:b w:val="false"/>
            <w:i w:val="false"/>
            <w:color w:val="000000"/>
            <w:sz w:val="22"/>
          </w:rPr>
          <w:t>261E.7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color w:val="000000"/>
          <w:sz w:val="22"/>
        </w:rPr>
        <w:t xml:space="preserve">Dual enrolled pupils. </w:t>
      </w:r>
      <w:r>
        <w:rPr>
          <w:rFonts w:ascii="Times New Roman" w:hAnsi="Times New Roman"/>
          <w:b w:val="false"/>
          <w:i w:val="false"/>
          <w:color w:val="000000"/>
          <w:sz w:val="22"/>
        </w:rPr>
        <w:t xml:space="preserve">For pupils who receive competent private instruction and are dual enrolled, the resident district will pay each year to the receiving district an amount equal to 0.1 times the state cost per pupil for the previous year plus any moneys received for the pupil as a result of English learner weighting provided by Iowa Code section </w:t>
      </w:r>
      <w:hyperlink r:id="rId37">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 xml:space="preserve">. However, a pupil dual enrolled in grades 9 through 12 will be counted by the receiving district in the same manner as a shared-time pupil under Iowa Code section </w:t>
      </w:r>
      <w:hyperlink r:id="rId38">
        <w:r>
          <w:rPr>
            <w:rStyle w:val="Hyperlink"/>
            <w:rFonts w:ascii="Times New Roman" w:hAnsi="Times New Roman"/>
            <w:b w:val="false"/>
            <w:i w:val="false"/>
            <w:color w:val="000000"/>
            <w:sz w:val="22"/>
          </w:rPr>
          <w:t>257.6(1)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color w:val="000000"/>
          <w:sz w:val="22"/>
        </w:rPr>
        <w:t xml:space="preserve">Home school assistance program pupils. </w:t>
      </w:r>
      <w:r>
        <w:rPr>
          <w:rFonts w:ascii="Times New Roman" w:hAnsi="Times New Roman"/>
          <w:b w:val="false"/>
          <w:i w:val="false"/>
          <w:color w:val="000000"/>
          <w:sz w:val="22"/>
        </w:rPr>
        <w:t xml:space="preserve">For pupils who receive competent private instruction and are registered for a home school assistance program, the resident district will pay each year to the receiving district an amount equal to 0.3 times the state cost per pupil under Iowa Code chapter </w:t>
      </w:r>
      <w:hyperlink r:id="rId39">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for the previous year plus any moneys received for the pupil as a result of English learner weighting provided by Iowa Code section </w:t>
      </w:r>
      <w:hyperlink r:id="rId40">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assistance. </w:t>
      </w:r>
      <w:r>
        <w:rPr>
          <w:rFonts w:ascii="Times New Roman" w:hAnsi="Times New Roman"/>
          <w:b w:val="false"/>
          <w:i w:val="false"/>
          <w:color w:val="000000"/>
          <w:sz w:val="22"/>
        </w:rPr>
        <w:t xml:space="preserve">The resident district may deduct any transportation assistance funds for which the pupil is eligible as provided by </w:t>
      </w:r>
      <w:hyperlink r:id="rId41">
        <w:r>
          <w:rPr>
            <w:rStyle w:val="Hyperlink"/>
            <w:rFonts w:ascii="Times New Roman" w:hAnsi="Times New Roman"/>
            <w:b w:val="false"/>
            <w:i w:val="false"/>
            <w:color w:val="000000"/>
            <w:sz w:val="22"/>
          </w:rPr>
          <w:t>subrule 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17.9(5)</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These moneys will be paid to the receiving district by the resident district during the period of open enrollment according to the timeline in Iowa Code section </w:t>
      </w:r>
      <w:hyperlink r:id="rId42">
        <w:r>
          <w:rPr>
            <w:rStyle w:val="Hyperlink"/>
            <w:rFonts w:ascii="Times New Roman" w:hAnsi="Times New Roman"/>
            <w:b w:val="false"/>
            <w:i w:val="false"/>
            <w:color w:val="000000"/>
            <w:sz w:val="22"/>
          </w:rPr>
          <w:t>282.20(3)</w:t>
        </w:r>
      </w:hyperlink>
      <w:r>
        <w:rPr>
          <w:rFonts w:ascii="Times New Roman" w:hAnsi="Times New Roman"/>
          <w:b w:val="false"/>
          <w:i w:val="false"/>
          <w:color w:val="000000"/>
          <w:sz w:val="22"/>
        </w:rPr>
        <w:t xml:space="preserve">. The district cost per pupil for nonspecial education students will be the cost calculated each year for the school year preceding the school year for which the open enrollment takes place. Costs for special education students are outlined in rule </w:t>
      </w:r>
      <w:hyperlink r:id="rId43">
        <w:r>
          <w:rPr>
            <w:rStyle w:val="Hyperlink"/>
            <w:rFonts w:ascii="Times New Roman" w:hAnsi="Times New Roman"/>
            <w:b w:val="false"/>
            <w:i w:val="false"/>
            <w:color w:val="000000"/>
            <w:sz w:val="22"/>
          </w:rPr>
          <w:t>281—17.10</w:t>
        </w:r>
      </w:hyperlink>
      <w:r>
        <w:rPr>
          <w:rFonts w:ascii="Times New Roman" w:hAnsi="Times New Roman"/>
          <w:b w:val="false"/>
          <w:i w:val="false"/>
          <w:color w:val="000000"/>
          <w:sz w:val="22"/>
        </w:rPr>
        <w:t>(282).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17.9(6)</w:t>
      </w:r>
      <w:r>
        <w:rPr>
          <w:rFonts w:ascii="Times New Roman" w:hAnsi="Times New Roman"/>
          <w:b w:val="false"/>
          <w:i w:val="false"/>
          <w:color w:val="000000"/>
          <w:sz w:val="22"/>
        </w:rPr>
        <w:t> </w:t>
      </w:r>
      <w:r>
        <w:rPr>
          <w:rFonts w:ascii="Times New Roman" w:hAnsi="Times New Roman"/>
          <w:b w:val="false"/>
          <w:i/>
          <w:color w:val="000000"/>
          <w:sz w:val="22"/>
        </w:rPr>
        <w:t xml:space="preserve">Partial-year situations. </w:t>
      </w:r>
      <w:r>
        <w:rPr>
          <w:rFonts w:ascii="Times New Roman" w:hAnsi="Times New Roman"/>
          <w:b w:val="false"/>
          <w:i w:val="false"/>
          <w:color w:val="000000"/>
          <w:sz w:val="22"/>
        </w:rPr>
        <w:t>If a pupil participating in open enrollment attends school in the receiving district for any reason for less than a full school year, payment from the district of residence at the time of open enrollment to the receiving district is prorated on a per diem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17.9(7)</w:t>
      </w:r>
      <w:r>
        <w:rPr>
          <w:rFonts w:ascii="Times New Roman" w:hAnsi="Times New Roman"/>
          <w:b w:val="false"/>
          <w:i w:val="false"/>
          <w:color w:val="000000"/>
          <w:sz w:val="22"/>
        </w:rPr>
        <w:t> </w:t>
      </w:r>
      <w:r>
        <w:rPr>
          <w:rFonts w:ascii="Times New Roman" w:hAnsi="Times New Roman"/>
          <w:b w:val="false"/>
          <w:i/>
          <w:color w:val="000000"/>
          <w:sz w:val="22"/>
        </w:rPr>
        <w:t xml:space="preserve">Supplemental weighting. </w:t>
      </w:r>
      <w:r>
        <w:rPr>
          <w:rFonts w:ascii="Times New Roman" w:hAnsi="Times New Roman"/>
          <w:b w:val="false"/>
          <w:i w:val="false"/>
          <w:color w:val="000000"/>
          <w:sz w:val="22"/>
        </w:rPr>
        <w:t xml:space="preserve">A student under open enrollment is eligible to be counted for supplementary weighting pursuant to </w:t>
      </w:r>
      <w:hyperlink r:id="rId44">
        <w:r>
          <w:rPr>
            <w:rStyle w:val="Hyperlink"/>
            <w:rFonts w:ascii="Times New Roman" w:hAnsi="Times New Roman"/>
            <w:b w:val="false"/>
            <w:i w:val="false"/>
            <w:color w:val="000000"/>
            <w:sz w:val="22"/>
          </w:rPr>
          <w:t>281—Chapter 97</w:t>
        </w:r>
      </w:hyperlink>
      <w:r>
        <w:rPr>
          <w:rFonts w:ascii="Times New Roman" w:hAnsi="Times New Roman"/>
          <w:b w:val="false"/>
          <w:i w:val="false"/>
          <w:color w:val="000000"/>
          <w:sz w:val="22"/>
        </w:rPr>
        <w:t xml:space="preserve"> for qualifying concurrent enrollment classes in which the student is enrolled, including concurrent enrollment classes provided via the Iowa communications network (ICN), or supplementary weighting for project lead the way (PLTW) enrollment through sharing with a community college. An open enrolled student who is under competent private instruction (CPI) will be weighted in the student’s receiving district, and no tuition will be billed to the resident district. An open enrolled student who is not under CPI will be weighted in the resident district, and the funding will be sent to the receiving district in addition to open enrollment tuition.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open enrolled student is present in the resident district on October 1 of the school year, the resident district will count the student, excluding a student under CPI, for supplementary weighting.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concurrent enrollment course needs to qualify for supplementary weighting in the receiving district pursuant to </w:t>
      </w:r>
      <w:hyperlink r:id="rId45">
        <w:r>
          <w:rPr>
            <w:rStyle w:val="Hyperlink"/>
            <w:rFonts w:ascii="Times New Roman" w:hAnsi="Times New Roman"/>
            <w:b w:val="false"/>
            <w:i w:val="false"/>
            <w:color w:val="000000"/>
            <w:sz w:val="22"/>
          </w:rPr>
          <w:t>281—Chapter 97</w:t>
        </w:r>
      </w:hyperlink>
      <w:r>
        <w:rPr>
          <w:rFonts w:ascii="Times New Roman" w:hAnsi="Times New Roman"/>
          <w:b w:val="false"/>
          <w:i w:val="false"/>
          <w:color w:val="000000"/>
          <w:sz w:val="22"/>
        </w:rPr>
        <w:t xml:space="preserve">, and the PLTW course needs to qualify for supplementary weighting in the receiving district pursuant to the same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 district will forward the weighting generated for the concurrent or PLTW enrollment for that student using the district cost per pupil of the school year. The amount generated is calculated as the supplementary weighting full-time-equivalency for that one student for each qualified concurrent or PLTW enrollment course multiplied by the current school year’s district cost per pupil in the resident district.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receiving district will pay the community college the tuition negotiated for the course. The tuition negotiated may cost the receiving district a different amount than that received from the resident district. No additional amount may be charged to the resident district, the student, or the parent, guardian, or legal custodian.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281—17.10</w:t>
      </w:r>
      <w:r>
        <w:rPr>
          <w:rFonts w:ascii="Times New Roman" w:hAnsi="Times New Roman"/>
          <w:b/>
          <w:i w:val="false"/>
          <w:color w:val="000000"/>
          <w:sz w:val="22"/>
        </w:rPr>
        <w:t xml:space="preserve">(282) </w:t>
      </w:r>
      <w:r>
        <w:rPr>
          <w:rFonts w:ascii="Times New Roman" w:hAnsi="Times New Roman"/>
          <w:b/>
          <w:i w:val="false"/>
          <w:color w:val="000000"/>
          <w:sz w:val="22"/>
        </w:rPr>
        <w:t xml:space="preserve">Special education students. </w:t>
      </w:r>
      <w:r>
        <w:rPr>
          <w:rFonts w:ascii="Times New Roman" w:hAnsi="Times New Roman"/>
          <w:b w:val="false"/>
          <w:i w:val="false"/>
          <w:color w:val="000000"/>
          <w:sz w:val="22"/>
        </w:rPr>
        <w:t xml:space="preserve">If a parent or guardian requests open enrollment for a pupil requiring special education, as provided by Iowa Code chapter </w:t>
      </w:r>
      <w:hyperlink r:id="rId46">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this request will receive consideration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color w:val="000000"/>
          <w:sz w:val="22"/>
        </w:rPr>
        <w:t xml:space="preserve">Appropriateness of program. </w:t>
      </w:r>
      <w:r>
        <w:rPr>
          <w:rFonts w:ascii="Times New Roman" w:hAnsi="Times New Roman"/>
          <w:b w:val="false"/>
          <w:i w:val="false"/>
          <w:color w:val="000000"/>
          <w:sz w:val="22"/>
        </w:rPr>
        <w:t xml:space="preserve">The request will be granted only if the receiving district is able to provide within that district the appropriate special education program for that student in accordance with </w:t>
      </w:r>
      <w:hyperlink r:id="rId48">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This determination will be made by the receiving district in consultation with the resident district and the appropriate area education agency(ies) before approval of the application. In a situation where the appropriateness of the program is in question, the pupil will remain enrolled in the program of the resident district until a final determination is made, unless all parties otherwise agree, as provided in </w:t>
      </w:r>
      <w:hyperlink r:id="rId49">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If the appropriateness of the special education program in the receiving district is at issue, the final determination of the appropriateness of a special education instructional program will be the responsibility of the child’s individualized education program team, which must include a representative from the resident district that has the authority to commit district resources, and which decision is subject to the parent’s procedural safeguards under </w:t>
      </w:r>
      <w:hyperlink r:id="rId50">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color w:val="000000"/>
          <w:sz w:val="22"/>
        </w:rPr>
        <w:t xml:space="preserve">Class size and caseload. </w:t>
      </w:r>
      <w:r>
        <w:rPr>
          <w:rFonts w:ascii="Times New Roman" w:hAnsi="Times New Roman"/>
          <w:b w:val="false"/>
          <w:i w:val="false"/>
          <w:color w:val="000000"/>
          <w:sz w:val="22"/>
        </w:rPr>
        <w:t xml:space="preserve">The provisions of </w:t>
      </w:r>
      <w:hyperlink r:id="rId51">
        <w:r>
          <w:rPr>
            <w:rStyle w:val="Hyperlink"/>
            <w:rFonts w:ascii="Times New Roman" w:hAnsi="Times New Roman"/>
            <w:b w:val="false"/>
            <w:i w:val="false"/>
            <w:color w:val="000000"/>
            <w:sz w:val="22"/>
          </w:rPr>
          <w:t>subrule 17.6(2)</w:t>
        </w:r>
      </w:hyperlink>
      <w:r>
        <w:rPr>
          <w:rFonts w:ascii="Times New Roman" w:hAnsi="Times New Roman"/>
          <w:b w:val="false"/>
          <w:i w:val="false"/>
          <w:color w:val="000000"/>
          <w:sz w:val="22"/>
        </w:rPr>
        <w:t xml:space="preserve"> apply to requests for open enrollment for a child with a disability.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enrollment of the child in the receiving district’s program would not cause the size of the class or caseload in that special education instructional program in the receiving district to exceed the maximum class size or caseload set forth in subrule </w:t>
      </w:r>
      <w:hyperlink r:id="rId52">
        <w:r>
          <w:rPr>
            <w:rStyle w:val="Hyperlink"/>
            <w:rFonts w:ascii="Times New Roman" w:hAnsi="Times New Roman"/>
            <w:b w:val="false"/>
            <w:i w:val="false"/>
            <w:color w:val="000000"/>
            <w:sz w:val="22"/>
          </w:rPr>
          <w:t>17.6(2)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would be assigned to a general education class, there is sufficient classroom space, as established in subrule </w:t>
      </w:r>
      <w:hyperlink r:id="rId53">
        <w:r>
          <w:rPr>
            <w:rStyle w:val="Hyperlink"/>
            <w:rFonts w:ascii="Times New Roman" w:hAnsi="Times New Roman"/>
            <w:b w:val="false"/>
            <w:i w:val="false"/>
            <w:color w:val="000000"/>
            <w:sz w:val="22"/>
          </w:rPr>
          <w:t>17.6(2)</w:t>
        </w:r>
      </w:hyperlink>
      <w:r>
        <w:rPr>
          <w:rFonts w:ascii="Times New Roman" w:hAnsi="Times New Roman"/>
          <w:b w:val="false"/>
          <w:i w:val="false"/>
          <w:color w:val="000000"/>
          <w:sz w:val="22"/>
        </w:rPr>
        <w:t>, for the general education class to which the child would be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District transportation requirements, parent/guardian responsibilities and, where applicable, financial assistance for an open enrollment special education pupil is available as provided by rules </w:t>
      </w:r>
      <w:hyperlink r:id="rId54">
        <w:r>
          <w:rPr>
            <w:rStyle w:val="Hyperlink"/>
            <w:rFonts w:ascii="Times New Roman" w:hAnsi="Times New Roman"/>
            <w:b w:val="false"/>
            <w:i w:val="false"/>
            <w:color w:val="000000"/>
            <w:sz w:val="22"/>
          </w:rPr>
          <w:t>281—17.8</w:t>
        </w:r>
      </w:hyperlink>
      <w:r>
        <w:rPr>
          <w:rFonts w:ascii="Times New Roman" w:hAnsi="Times New Roman"/>
          <w:b w:val="false"/>
          <w:i w:val="false"/>
          <w:color w:val="000000"/>
          <w:sz w:val="22"/>
        </w:rPr>
        <w:t xml:space="preserve">(282) and </w:t>
      </w:r>
      <w:hyperlink r:id="rId55">
        <w:r>
          <w:rPr>
            <w:rStyle w:val="Hyperlink"/>
            <w:rFonts w:ascii="Times New Roman" w:hAnsi="Times New Roman"/>
            <w:b w:val="false"/>
            <w:i w:val="false"/>
            <w:color w:val="000000"/>
            <w:sz w:val="22"/>
          </w:rPr>
          <w:t>281—41.412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17.10(4)</w:t>
      </w:r>
      <w:r>
        <w:rPr>
          <w:rFonts w:ascii="Times New Roman" w:hAnsi="Times New Roman"/>
          <w:b w:val="false"/>
          <w:i w:val="false"/>
          <w:color w:val="000000"/>
          <w:sz w:val="22"/>
        </w:rPr>
        <w:t> </w:t>
      </w:r>
      <w:r>
        <w:rPr>
          <w:rFonts w:ascii="Times New Roman" w:hAnsi="Times New Roman"/>
          <w:b w:val="false"/>
          <w:i/>
          <w:color w:val="000000"/>
          <w:sz w:val="22"/>
        </w:rPr>
        <w:t xml:space="preserve">Finance. </w:t>
      </w:r>
      <w:r>
        <w:rPr>
          <w:rFonts w:ascii="Times New Roman" w:hAnsi="Times New Roman"/>
          <w:b w:val="false"/>
          <w:i w:val="false"/>
          <w:color w:val="000000"/>
          <w:sz w:val="22"/>
        </w:rPr>
        <w:t xml:space="preserve">The district of residence, as determined on the date specified in Iowa Code section </w:t>
      </w:r>
      <w:hyperlink r:id="rId56">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 xml:space="preserve">, will pay according to the timeline in Iowa Code section </w:t>
      </w:r>
      <w:hyperlink r:id="rId57">
        <w:r>
          <w:rPr>
            <w:rStyle w:val="Hyperlink"/>
            <w:rFonts w:ascii="Times New Roman" w:hAnsi="Times New Roman"/>
            <w:b w:val="false"/>
            <w:i w:val="false"/>
            <w:color w:val="000000"/>
            <w:sz w:val="22"/>
          </w:rPr>
          <w:t>282.20(3)</w:t>
        </w:r>
      </w:hyperlink>
      <w:r>
        <w:rPr>
          <w:rFonts w:ascii="Times New Roman" w:hAnsi="Times New Roman"/>
          <w:b w:val="false"/>
          <w:i w:val="false"/>
          <w:color w:val="000000"/>
          <w:sz w:val="22"/>
        </w:rPr>
        <w:t xml:space="preserve"> to the receiving district the actual costs incurred by the receiving district in providing the appropriate special education program. These costs will be based on the current year expenditures with needed adjustments made in the final payment. The responsibility for ensuring that an appropriate program is maintained for an open enrollment special education pupil rests with the resident district. The receiving district and the receiving area education agency director will provide, at least on an annual basis, evaluation reports and information to the resident district on each special education open enrollment pupil. The receiving district will provide notice to the resident district of all staffings scheduled for each open enrollment pupil. For an open enrolled special education pupil where the receiving district is located in an area education agency other than the area education agency within which the resident district is located, the resident district and the receiving district are to forward a copy of any approved open enrollment request to the director of special education of their respective area education agencies. Any moneys received by the area education agency of the resident district for an approved open enrollment special education pupil will be forwarded to the receiving district’s area education agency. For children requiring special education, the receiving district will complete and provide to the district of residence the documentation necessary to seek Medicaid reimbursement for eligible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division is intended to implement Iowa Code section </w:t>
      </w:r>
      <w:hyperlink r:id="rId58">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INTRA-DISTRICT SCHOOL CHOICE UNDER IOWA LAW</w:t>
      </w:r>
    </w:p>
    <w:p>
      <w:pPr>
        <w:spacing w:before="0" w:after="0"/>
        <w:ind w:left="120"/>
        <w:jc w:val="both"/>
      </w:pPr>
      <w:r>
        <w:rPr>
          <w:rFonts w:ascii="Times New Roman" w:hAnsi="Times New Roman"/>
          <w:b/>
          <w:i w:val="false"/>
          <w:color w:val="000000"/>
          <w:sz w:val="22"/>
        </w:rPr>
        <w:t>281—17.11</w:t>
      </w:r>
      <w:r>
        <w:rPr>
          <w:rFonts w:ascii="Times New Roman" w:hAnsi="Times New Roman"/>
          <w:b/>
          <w:i w:val="false"/>
          <w:color w:val="000000"/>
          <w:sz w:val="22"/>
        </w:rPr>
        <w:t xml:space="preserve">(279)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Subject to Iowa Code section </w:t>
      </w:r>
      <w:hyperlink r:id="rId59">
        <w:r>
          <w:rPr>
            <w:rStyle w:val="Hyperlink"/>
            <w:rFonts w:ascii="Times New Roman" w:hAnsi="Times New Roman"/>
            <w:b w:val="false"/>
            <w:i w:val="false"/>
            <w:color w:val="000000"/>
            <w:sz w:val="22"/>
          </w:rPr>
          <w:t>279.82</w:t>
        </w:r>
      </w:hyperlink>
      <w:r>
        <w:rPr>
          <w:rFonts w:ascii="Times New Roman" w:hAnsi="Times New Roman"/>
          <w:b w:val="false"/>
          <w:i w:val="false"/>
          <w:color w:val="000000"/>
          <w:sz w:val="22"/>
        </w:rPr>
        <w:t>, a school district may permit parents or guardians of students to transfer to other attendance centers operated by the district. Such transfers are at the discretion of the district, subject to terms that the district adopts.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281—17.12</w:t>
      </w:r>
      <w:r>
        <w:rPr>
          <w:rFonts w:ascii="Times New Roman" w:hAnsi="Times New Roman"/>
          <w:b/>
          <w:i w:val="false"/>
          <w:color w:val="000000"/>
          <w:sz w:val="22"/>
        </w:rPr>
        <w:t xml:space="preserve">(279) </w:t>
      </w:r>
      <w:r>
        <w:rPr>
          <w:rFonts w:ascii="Times New Roman" w:hAnsi="Times New Roman"/>
          <w:b/>
          <w:i w:val="false"/>
          <w:color w:val="000000"/>
          <w:sz w:val="22"/>
        </w:rPr>
        <w:t xml:space="preserve">Intra-district transfers due to bullying and harassment. </w:t>
      </w:r>
      <w:r>
        <w:rPr>
          <w:rFonts w:ascii="Times New Roman" w:hAnsi="Times New Roman"/>
          <w:b w:val="false"/>
          <w:i w:val="false"/>
          <w:color w:val="000000"/>
          <w:sz w:val="22"/>
        </w:rPr>
        <w:t xml:space="preserve">If a school district determines that a student has been bullied or harassed, then the school will permit the student to transfer under the provisions of Iowa Code section </w:t>
      </w:r>
      <w:hyperlink r:id="rId60">
        <w:r>
          <w:rPr>
            <w:rStyle w:val="Hyperlink"/>
            <w:rFonts w:ascii="Times New Roman" w:hAnsi="Times New Roman"/>
            <w:b w:val="false"/>
            <w:i w:val="false"/>
            <w:color w:val="000000"/>
            <w:sz w:val="22"/>
          </w:rPr>
          <w:t>279.82</w:t>
        </w:r>
      </w:hyperlink>
      <w:r>
        <w:rPr>
          <w:rFonts w:ascii="Times New Roman" w:hAnsi="Times New Roman"/>
          <w:b w:val="false"/>
          <w:i w:val="false"/>
          <w:color w:val="000000"/>
          <w:sz w:val="22"/>
        </w:rPr>
        <w:t xml:space="preserve">. For purposes of this rule, “harassment” and “bullying” mean the same as defined in Iowa Code section </w:t>
      </w:r>
      <w:hyperlink r:id="rId61">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 xml:space="preserve">. Subrule </w:t>
      </w:r>
      <w:hyperlink r:id="rId62">
        <w:r>
          <w:rPr>
            <w:rStyle w:val="Hyperlink"/>
            <w:rFonts w:ascii="Times New Roman" w:hAnsi="Times New Roman"/>
            <w:b w:val="false"/>
            <w:i w:val="false"/>
            <w:color w:val="000000"/>
            <w:sz w:val="22"/>
          </w:rPr>
          <w:t>17.6(2)</w:t>
        </w:r>
      </w:hyperlink>
      <w:r>
        <w:rPr>
          <w:rFonts w:ascii="Times New Roman" w:hAnsi="Times New Roman"/>
          <w:b w:val="false"/>
          <w:i w:val="false"/>
          <w:color w:val="000000"/>
          <w:sz w:val="22"/>
        </w:rPr>
        <w:t xml:space="preserve"> and rule </w:t>
      </w:r>
      <w:hyperlink r:id="rId63">
        <w:r>
          <w:rPr>
            <w:rStyle w:val="Hyperlink"/>
            <w:rFonts w:ascii="Times New Roman" w:hAnsi="Times New Roman"/>
            <w:b w:val="false"/>
            <w:i w:val="false"/>
            <w:color w:val="000000"/>
            <w:sz w:val="22"/>
          </w:rPr>
          <w:t>281—17.10</w:t>
        </w:r>
      </w:hyperlink>
      <w:r>
        <w:rPr>
          <w:rFonts w:ascii="Times New Roman" w:hAnsi="Times New Roman"/>
          <w:b w:val="false"/>
          <w:i w:val="false"/>
          <w:color w:val="000000"/>
          <w:sz w:val="22"/>
        </w:rPr>
        <w:t>(282) apply to transfers under this rule. A student who is enrolled in another attendance center within the same school district pursuant to this rule is eligible to participate immediately in varsity interscholastic athletic contests and athletic competitions as a member of a team from the receiving attendance center, notwithstanding any local policy on intra-district transfers and athletic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division is intended to implement Iowa Code section </w:t>
      </w:r>
      <w:hyperlink r:id="rId64">
        <w:r>
          <w:rPr>
            <w:rStyle w:val="Hyperlink"/>
            <w:rFonts w:ascii="Times New Roman" w:hAnsi="Times New Roman"/>
            <w:b w:val="false"/>
            <w:i w:val="false"/>
            <w:color w:val="000000"/>
            <w:sz w:val="22"/>
          </w:rPr>
          <w:t>279.82</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UNSAFE SCHOOL CHOICE OPTION UNDER FEDERAL LAW</w:t>
      </w:r>
    </w:p>
    <w:p>
      <w:pPr>
        <w:spacing w:before="0" w:after="0"/>
        <w:ind w:left="120"/>
        <w:jc w:val="both"/>
      </w:pPr>
      <w:r>
        <w:rPr>
          <w:rFonts w:ascii="Times New Roman" w:hAnsi="Times New Roman"/>
          <w:b/>
          <w:i w:val="false"/>
          <w:color w:val="000000"/>
          <w:sz w:val="22"/>
        </w:rPr>
        <w:t>281—17.13</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“Forcible felony” </w:t>
      </w:r>
      <w:r>
        <w:rPr>
          <w:rFonts w:ascii="Times New Roman" w:hAnsi="Times New Roman"/>
          <w:b w:val="false"/>
          <w:i w:val="false"/>
          <w:color w:val="000000"/>
          <w:sz w:val="22"/>
        </w:rPr>
        <w:t xml:space="preserve">means any crime defined in Iowa Code section </w:t>
      </w:r>
      <w:hyperlink r:id="rId65">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 xml:space="preserve">. This includes felonious child endangerment, assault, murder, sexual abuse, kidnapping, robbery, arson in the first degree, or burglary in the first degree. Forcible felonies are not willful injury in violation of Iowa Code section </w:t>
      </w:r>
      <w:hyperlink r:id="rId66">
        <w:r>
          <w:rPr>
            <w:rStyle w:val="Hyperlink"/>
            <w:rFonts w:ascii="Times New Roman" w:hAnsi="Times New Roman"/>
            <w:b w:val="false"/>
            <w:i w:val="false"/>
            <w:color w:val="000000"/>
            <w:sz w:val="22"/>
          </w:rPr>
          <w:t>708.4(2)</w:t>
        </w:r>
      </w:hyperlink>
      <w:r>
        <w:rPr>
          <w:rFonts w:ascii="Times New Roman" w:hAnsi="Times New Roman"/>
          <w:b w:val="false"/>
          <w:i w:val="false"/>
          <w:color w:val="000000"/>
          <w:sz w:val="22"/>
        </w:rPr>
        <w:t xml:space="preserve">; sexual abuse in the third degree committed between spouses; sexual abuse in violation of Iowa Code section </w:t>
      </w:r>
      <w:hyperlink r:id="rId67">
        <w:r>
          <w:rPr>
            <w:rStyle w:val="Hyperlink"/>
            <w:rFonts w:ascii="Times New Roman" w:hAnsi="Times New Roman"/>
            <w:b w:val="false"/>
            <w:i w:val="false"/>
            <w:color w:val="000000"/>
            <w:sz w:val="22"/>
          </w:rPr>
          <w:t>709.4(2)</w:t>
        </w:r>
      </w:hyperlink>
      <w:r>
        <w:rPr>
          <w:rFonts w:ascii="Times New Roman" w:hAnsi="Times New Roman"/>
          <w:b w:val="false"/>
          <w:i/>
          <w:color w:val="000000"/>
          <w:sz w:val="22"/>
        </w:rPr>
        <w:t>“c”</w:t>
      </w:r>
      <w:r>
        <w:rPr>
          <w:rFonts w:ascii="Times New Roman" w:hAnsi="Times New Roman"/>
          <w:b w:val="false"/>
          <w:i w:val="false"/>
          <w:color w:val="000000"/>
          <w:sz w:val="22"/>
        </w:rPr>
        <w:t xml:space="preserve">(4); or sexual exploitation by a counselor or therapist in violation of Iowa Code section </w:t>
      </w:r>
      <w:hyperlink r:id="rId68">
        <w:r>
          <w:rPr>
            <w:rStyle w:val="Hyperlink"/>
            <w:rFonts w:ascii="Times New Roman" w:hAnsi="Times New Roman"/>
            <w:b w:val="false"/>
            <w:i w:val="false"/>
            <w:color w:val="000000"/>
            <w:sz w:val="22"/>
          </w:rPr>
          <w:t>709.15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attendance center within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year” </w:t>
      </w:r>
      <w:r>
        <w:rPr>
          <w:rFonts w:ascii="Times New Roman" w:hAnsi="Times New Roman"/>
          <w:b w:val="false"/>
          <w:i w:val="false"/>
          <w:color w:val="000000"/>
          <w:sz w:val="22"/>
        </w:rPr>
        <w:t>means from July 1 until June 30 of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281—17.14</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Whole school option. </w:t>
      </w:r>
      <w:r>
        <w:rPr>
          <w:rFonts w:ascii="Times New Roman" w:hAnsi="Times New Roman"/>
          <w:b w:val="false"/>
          <w:i w:val="false"/>
          <w:color w:val="000000"/>
          <w:sz w:val="22"/>
        </w:rPr>
        <w:t>Any student attending a persistently dangerous school as defined in this rule is eligible to transfer to a different school within the district. Transportation for students electing to transfer will be provided according to the district’s transportation policy. The transfers may be temporary or permanent, but will be in effect as long as the student’s original school is identified as persistently dangerous.</w:t>
      </w:r>
    </w:p>
    <w:p>
      <w:pPr>
        <w:spacing w:before="0" w:after="0"/>
        <w:ind w:left="120"/>
        <w:jc w:val="both"/>
      </w:pPr>
      <w:r>
        <w:rPr>
          <w:rFonts w:ascii="Times New Roman" w:hAnsi="Times New Roman"/>
          <w:b w:val="false"/>
          <w:i w:val="false"/>
          <w:color w:val="000000"/>
          <w:sz w:val="22"/>
        </w:rPr>
        <w:t>In making the determination of whether a transfer should be temporary or permanent, the district will consider the educational needs of the student, as well as other factors affecting the student’s ability to succeed in the student’s new school environment. The district is encouraged to explore other appropriate options such as an agreement with a contiguous school district to accept students if there is no safe school within the transferring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val="false"/>
          <w:color w:val="000000"/>
          <w:sz w:val="22"/>
        </w:rPr>
        <w:t>A persistently dangerous school is one that meets the following criteria for three consecutive school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has violence-related, long-term suspensions or expulsions for more than 1 percent of the student population. Long-term suspensions or expulsions are more than ten days in length and require the action of the local school board. For purposes of this subrule, a violence-related, long-term suspension or expulsion occurs as a result of physical injury or the threat of physical injury to a student while the student is in the school building or on the grounds of the attendance center during the hours of the regular school day or while the student is in attendance at school-sponsored activities that occur during the hours before or after the regular school day under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forcible felony as defined in rule </w:t>
      </w:r>
      <w:hyperlink r:id="rId69">
        <w:r>
          <w:rPr>
            <w:rStyle w:val="Hyperlink"/>
            <w:rFonts w:ascii="Times New Roman" w:hAnsi="Times New Roman"/>
            <w:b w:val="false"/>
            <w:i w:val="false"/>
            <w:color w:val="000000"/>
            <w:sz w:val="22"/>
          </w:rPr>
          <w:t>281—17.13</w:t>
        </w:r>
      </w:hyperlink>
      <w:r>
        <w:rPr>
          <w:rFonts w:ascii="Times New Roman" w:hAnsi="Times New Roman"/>
          <w:b w:val="false"/>
          <w:i w:val="false"/>
          <w:color w:val="000000"/>
          <w:sz w:val="22"/>
        </w:rPr>
        <w:t>(20USC7912);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physical assault under Iowa Code chapter </w:t>
      </w:r>
      <w:hyperlink r:id="rId70">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sexual assault under Iowa Code chapter </w:t>
      </w:r>
      <w:hyperlink r:id="rId71">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Extortion under Iowa Code section </w:t>
      </w:r>
      <w:hyperlink r:id="rId72">
        <w:r>
          <w:rPr>
            <w:rStyle w:val="Hyperlink"/>
            <w:rFonts w:ascii="Times New Roman" w:hAnsi="Times New Roman"/>
            <w:b w:val="false"/>
            <w:i w:val="false"/>
            <w:color w:val="000000"/>
            <w:sz w:val="22"/>
          </w:rPr>
          <w:t>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incendiary or explosive devices such as bombs under Iowa Code section </w:t>
      </w:r>
      <w:hyperlink r:id="rId73">
        <w:r>
          <w:rPr>
            <w:rStyle w:val="Hyperlink"/>
            <w:rFonts w:ascii="Times New Roman" w:hAnsi="Times New Roman"/>
            <w:b w:val="false"/>
            <w:i w:val="false"/>
            <w:color w:val="000000"/>
            <w:sz w:val="22"/>
          </w:rPr>
          <w:t>712.5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gang activity under Iowa Code chapter </w:t>
      </w:r>
      <w:hyperlink r:id="rId74">
        <w:r>
          <w:rPr>
            <w:rStyle w:val="Hyperlink"/>
            <w:rFonts w:ascii="Times New Roman" w:hAnsi="Times New Roman"/>
            <w:b w:val="false"/>
            <w:i w:val="false"/>
            <w:color w:val="000000"/>
            <w:sz w:val="22"/>
          </w:rPr>
          <w:t>723A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Carrying or using a weapon under Iowa Code sections </w:t>
      </w:r>
      <w:hyperlink r:id="rId75">
        <w:r>
          <w:rPr>
            <w:rStyle w:val="Hyperlink"/>
            <w:rFonts w:ascii="Times New Roman" w:hAnsi="Times New Roman"/>
            <w:b w:val="false"/>
            <w:i w:val="false"/>
            <w:color w:val="000000"/>
            <w:sz w:val="22"/>
          </w:rPr>
          <w:t>724.3</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724.4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has two or more students expelled for violating the federal gun-free school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has 1 percent of the enrolled student population or five students, whichever is greater, who exercised the individual student option defined in rule </w:t>
      </w:r>
      <w:hyperlink r:id="rId77">
        <w:r>
          <w:rPr>
            <w:rStyle w:val="Hyperlink"/>
            <w:rFonts w:ascii="Times New Roman" w:hAnsi="Times New Roman"/>
            <w:b w:val="false"/>
            <w:i w:val="false"/>
            <w:color w:val="000000"/>
            <w:sz w:val="22"/>
          </w:rPr>
          <w:t>281—17.15</w:t>
        </w:r>
      </w:hyperlink>
      <w:r>
        <w:rPr>
          <w:rFonts w:ascii="Times New Roman" w:hAnsi="Times New Roman"/>
          <w:b w:val="false"/>
          <w:i w:val="false"/>
          <w:color w:val="000000"/>
          <w:sz w:val="22"/>
        </w:rPr>
        <w:t>(20USC7912).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school year starting July 1, 2003, and in the years thereafter, a school identified as meeting the criteria in paragraphs </w:t>
      </w:r>
      <w:hyperlink r:id="rId78">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one year will be given a warning by the department. The school will review the school’s safety plan and prevention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school year starting July 1, 2004, and in the years thereafter, a school identified as meeting the criteria in paragraphs </w:t>
      </w:r>
      <w:hyperlink r:id="rId79">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two consecutive years will develop and implement a remedial plan. The plan will include schoolwide efforts to support positive student behavior and improve student discipline. The department will conduct a site visit to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school year starting July 1, 2005, and in the years thereafter, a school identified as meeting the criteria in paragraphs </w:t>
      </w:r>
      <w:hyperlink r:id="rId80">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three consecutive years is eligible to be designated as a persistently dangerous school by the department. Prior to the department’s assigning the designation, the district may submit information to the department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school’s safety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efforts to address the school’s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safety data reported to the state consistent with requirements of the federal Safe and Drug-Free Schools and Communities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More current data that the school may have available but has not yet reported;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17.14(5)</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and review of the information, the department may determine that the school demonstrates improvement and may delay the designation for one year. By July 31, the department may, upon review of information that demonstrates improvement, delay the designation for one year. The department will determine whether the district has made sufficient progress to warrant further consideration as a persistently dangerous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17.14(6)</w:t>
      </w:r>
      <w:r>
        <w:rPr>
          <w:rFonts w:ascii="Times New Roman" w:hAnsi="Times New Roman"/>
          <w:b w:val="false"/>
          <w:i w:val="false"/>
          <w:color w:val="000000"/>
          <w:sz w:val="22"/>
        </w:rPr>
        <w:t> </w:t>
      </w:r>
      <w:r>
        <w:rPr>
          <w:rFonts w:ascii="Times New Roman" w:hAnsi="Times New Roman"/>
          <w:b w:val="false"/>
          <w:i w:val="false"/>
          <w:color w:val="000000"/>
          <w:sz w:val="22"/>
        </w:rPr>
        <w:t xml:space="preserve">Upon designation, the district will adopt a corrective action plan, to be approved by the department. The department will monitor the district’s timely completion of the approved plan. The department will annually assess the school using the criteria listed in paragraphs </w:t>
      </w:r>
      <w:hyperlink r:id="rId81">
        <w:r>
          <w:rPr>
            <w:rStyle w:val="Hyperlink"/>
            <w:rFonts w:ascii="Times New Roman" w:hAnsi="Times New Roman"/>
            <w:b w:val="false"/>
            <w:i w:val="false"/>
            <w:color w:val="000000"/>
            <w:sz w:val="22"/>
          </w:rPr>
          <w:t>17.14(1)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by July 31 to determine whether the school will remain identified as a persistently dangerous school for the following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17.14(7)</w:t>
      </w:r>
      <w:r>
        <w:rPr>
          <w:rFonts w:ascii="Times New Roman" w:hAnsi="Times New Roman"/>
          <w:b w:val="false"/>
          <w:i w:val="false"/>
          <w:color w:val="000000"/>
          <w:sz w:val="22"/>
        </w:rPr>
        <w:t> </w:t>
      </w:r>
      <w:r>
        <w:rPr>
          <w:rFonts w:ascii="Times New Roman" w:hAnsi="Times New Roman"/>
          <w:b w:val="false"/>
          <w:i w:val="false"/>
          <w:color w:val="000000"/>
          <w:sz w:val="22"/>
        </w:rPr>
        <w:t>At minimum, a district that has one or more schools identified as persistently dangerous will, within 14 days of the designation, notify parents of each student attending the school that the school has been identified by the department as persistently dangerous. The district must offer students the opportunity to transfer to a safe public school within the district; and for those students who accept the offer, the district will complete the transfer. A district may deny the transfer if space at the requested school is unavailable. A district will offer the parent other available options within the district, when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281—17.15</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Individual student 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val="false"/>
          <w:color w:val="000000"/>
          <w:sz w:val="22"/>
        </w:rPr>
        <w:t>Any student who becomes a victim of a violent criminal offense will, to the extent feasible, be permitted to transfer to another school within the district. For purposes of this rule, a victim of a violent criminal offense is a student who is physically injured or threatened with physical injury as a result of the commission of one or more of the following crimes against the student while the student is in the school building or on the grounds of the attendance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forcible felony as defined in rule </w:t>
      </w:r>
      <w:hyperlink r:id="rId82">
        <w:r>
          <w:rPr>
            <w:rStyle w:val="Hyperlink"/>
            <w:rFonts w:ascii="Times New Roman" w:hAnsi="Times New Roman"/>
            <w:b w:val="false"/>
            <w:i w:val="false"/>
            <w:color w:val="000000"/>
            <w:sz w:val="22"/>
          </w:rPr>
          <w:t>281—17.13</w:t>
        </w:r>
      </w:hyperlink>
      <w:r>
        <w:rPr>
          <w:rFonts w:ascii="Times New Roman" w:hAnsi="Times New Roman"/>
          <w:b w:val="false"/>
          <w:i w:val="false"/>
          <w:color w:val="000000"/>
          <w:sz w:val="22"/>
        </w:rPr>
        <w:t>(20USC7912);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physical assault under Iowa Code chapter </w:t>
      </w:r>
      <w:hyperlink r:id="rId83">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Offenses, excluding simple misdemeanors, involving sexual assault under Iowa Code chapter </w:t>
      </w:r>
      <w:hyperlink r:id="rId84">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Extortion under Iowa Code section </w:t>
      </w:r>
      <w:hyperlink r:id="rId85">
        <w:r>
          <w:rPr>
            <w:rStyle w:val="Hyperlink"/>
            <w:rFonts w:ascii="Times New Roman" w:hAnsi="Times New Roman"/>
            <w:b w:val="false"/>
            <w:i w:val="false"/>
            <w:color w:val="000000"/>
            <w:sz w:val="22"/>
          </w:rPr>
          <w:t>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val="false"/>
          <w:color w:val="000000"/>
          <w:sz w:val="22"/>
        </w:rPr>
        <w:t>Within ten calendar days following the date of the request, a local school district will offer an opportunity to transfer to the parent/guardian of a student who meets the definition of a victim of a violent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281—17.16</w:t>
      </w:r>
      <w:r>
        <w:rPr>
          <w:rFonts w:ascii="Times New Roman" w:hAnsi="Times New Roman"/>
          <w:b/>
          <w:i w:val="false"/>
          <w:color w:val="000000"/>
          <w:sz w:val="22"/>
        </w:rPr>
        <w:t xml:space="preserve">(20USC7912) </w:t>
      </w:r>
      <w:r>
        <w:rPr>
          <w:rFonts w:ascii="Times New Roman" w:hAnsi="Times New Roman"/>
          <w:b/>
          <w:i w:val="false"/>
          <w:color w:val="000000"/>
          <w:sz w:val="22"/>
        </w:rPr>
        <w:t xml:space="preserve">District reporting. </w:t>
      </w:r>
      <w:r>
        <w:rPr>
          <w:rFonts w:ascii="Times New Roman" w:hAnsi="Times New Roman"/>
          <w:b w:val="false"/>
          <w:i w:val="false"/>
          <w:color w:val="000000"/>
          <w:sz w:val="22"/>
        </w:rPr>
        <w:t>For purposes of federal compliance, districts will report data and requested information related to this division in a manner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This division is intended to implement 20 U.S.C. Section 7912.</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2/2/90, Notices 7/26/89, 8/9/89—published 2/21/90, effective 3/28/90]</w:t>
      </w:r>
    </w:p>
    <w:p>
      <w:pPr>
        <w:spacing w:before="0" w:after="0"/>
        <w:ind w:left="120"/>
        <w:jc w:val="center"/>
      </w:pPr>
      <w:r>
        <w:rPr>
          <w:rFonts w:ascii="Times New Roman" w:hAnsi="Times New Roman"/>
          <w:b w:val="false"/>
          <w:i w:val="false"/>
          <w:color w:val="000000"/>
          <w:sz w:val="21"/>
        </w:rPr>
        <w:t>[Filed emergency 5/25/90—published 6/13/90, effective 5/25/90]</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11/22/91, Notice 10/2/91—published 12/11/91, effective 1/15/92]</w:t>
      </w:r>
    </w:p>
    <w:p>
      <w:pPr>
        <w:spacing w:before="0" w:after="0"/>
        <w:ind w:left="120"/>
        <w:jc w:val="center"/>
      </w:pPr>
      <w:r>
        <w:rPr>
          <w:rFonts w:ascii="Times New Roman" w:hAnsi="Times New Roman"/>
          <w:b w:val="false"/>
          <w:i w:val="false"/>
          <w:color w:val="000000"/>
          <w:sz w:val="21"/>
        </w:rPr>
        <w:t>[Filed 8/26/92, Notice 6/24/92—published 9/16/92, effective 10/21/92]</w:t>
      </w:r>
    </w:p>
    <w:p>
      <w:pPr>
        <w:spacing w:before="0" w:after="0"/>
        <w:ind w:left="120"/>
        <w:jc w:val="center"/>
      </w:pPr>
      <w:r>
        <w:rPr>
          <w:rFonts w:ascii="Times New Roman" w:hAnsi="Times New Roman"/>
          <w:b w:val="false"/>
          <w:i w:val="false"/>
          <w:color w:val="000000"/>
          <w:sz w:val="21"/>
        </w:rPr>
        <w:t>[Filed 11/19/93, Notice 9/29/93—published 12/8/93, effective 1/12/94]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11/21/95, Notice 9/13/95—published 12/20/95, effective 1/24/96]</w:t>
      </w:r>
    </w:p>
    <w:p>
      <w:pPr>
        <w:spacing w:before="0" w:after="0"/>
        <w:ind w:left="120"/>
        <w:jc w:val="center"/>
      </w:pPr>
      <w:r>
        <w:rPr>
          <w:rFonts w:ascii="Times New Roman" w:hAnsi="Times New Roman"/>
          <w:b w:val="false"/>
          <w:i w:val="false"/>
          <w:color w:val="000000"/>
          <w:sz w:val="21"/>
        </w:rPr>
        <w:t>[Filed 9/13/96, Notice 7/17/96—published 10/9/96, effective 11/13/96]</w:t>
      </w:r>
    </w:p>
    <w:p>
      <w:pPr>
        <w:spacing w:before="0" w:after="0"/>
        <w:ind w:left="120"/>
        <w:jc w:val="center"/>
      </w:pPr>
      <w:r>
        <w:rPr>
          <w:rFonts w:ascii="Times New Roman" w:hAnsi="Times New Roman"/>
          <w:b w:val="false"/>
          <w:i w:val="false"/>
          <w:color w:val="000000"/>
          <w:sz w:val="21"/>
        </w:rPr>
        <w:t>[Filed 3/20/98, Notice 2/11/98—published 4/8/98, effective 5/13/98]</w:t>
      </w:r>
    </w:p>
    <w:p>
      <w:pPr>
        <w:spacing w:before="0" w:after="0"/>
        <w:ind w:left="120"/>
        <w:jc w:val="center"/>
      </w:pPr>
      <w:r>
        <w:rPr>
          <w:rFonts w:ascii="Times New Roman" w:hAnsi="Times New Roman"/>
          <w:b w:val="false"/>
          <w:i w:val="false"/>
          <w:color w:val="000000"/>
          <w:sz w:val="21"/>
        </w:rPr>
        <w:t>[Filed 2/11/00, Notice 12/15/99—published 3/8/00, effective 4/12/00]</w:t>
      </w:r>
    </w:p>
    <w:p>
      <w:pPr>
        <w:spacing w:before="0" w:after="0"/>
        <w:ind w:left="120"/>
        <w:jc w:val="center"/>
      </w:pPr>
      <w:r>
        <w:rPr>
          <w:rFonts w:ascii="Times New Roman" w:hAnsi="Times New Roman"/>
          <w:b w:val="false"/>
          <w:i w:val="false"/>
          <w:color w:val="000000"/>
          <w:sz w:val="21"/>
        </w:rPr>
        <w:t>[Filed emergency 8/4/00—published 8/23/00, effective 8/7/00]</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emergency 11/21/02—published 12/11/02, effective 11/21/02]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6/17/04, Notice 5/12/04—published 7/7/04, effective 8/11/04]</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7/27/07, Notice 5/9/07—published 8/15/07, effective 9/19/07]</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9261B</w:t>
      </w:r>
      <w:r>
        <w:rPr>
          <w:rFonts w:ascii="Times New Roman" w:hAnsi="Times New Roman"/>
          <w:b w:val="false"/>
          <w:i w:val="false"/>
          <w:color w:val="000000"/>
          <w:sz w:val="21"/>
        </w:rPr>
        <w:t xml:space="preserve"> (Notice ARC 9143B, IAB 10/6/10)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0521C</w:t>
      </w:r>
      <w:r>
        <w:rPr>
          <w:rFonts w:ascii="Times New Roman" w:hAnsi="Times New Roman"/>
          <w:b w:val="false"/>
          <w:i w:val="false"/>
          <w:color w:val="000000"/>
          <w:sz w:val="21"/>
        </w:rPr>
        <w:t xml:space="preserve"> (Notice ARC 0384C,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2746C</w:t>
      </w:r>
      <w:r>
        <w:rPr>
          <w:rFonts w:ascii="Times New Roman" w:hAnsi="Times New Roman"/>
          <w:b w:val="false"/>
          <w:i w:val="false"/>
          <w:color w:val="000000"/>
          <w:sz w:val="21"/>
        </w:rPr>
        <w:t xml:space="preserve"> (Notice ARC 2609C, IAB 7/6/16)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3181C</w:t>
      </w:r>
      <w:r>
        <w:rPr>
          <w:rFonts w:ascii="Times New Roman" w:hAnsi="Times New Roman"/>
          <w:b w:val="false"/>
          <w:i w:val="false"/>
          <w:color w:val="000000"/>
          <w:sz w:val="21"/>
        </w:rPr>
        <w:t xml:space="preserve"> (Notice ARC 3031C, IAB 4/26/17)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4296C</w:t>
      </w:r>
      <w:r>
        <w:rPr>
          <w:rFonts w:ascii="Times New Roman" w:hAnsi="Times New Roman"/>
          <w:b w:val="false"/>
          <w:i w:val="false"/>
          <w:color w:val="000000"/>
          <w:sz w:val="21"/>
        </w:rPr>
        <w:t xml:space="preserve"> (Notice ARC 4159C,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5651C</w:t>
      </w:r>
      <w:r>
        <w:rPr>
          <w:rFonts w:ascii="Times New Roman" w:hAnsi="Times New Roman"/>
          <w:b w:val="false"/>
          <w:i w:val="false"/>
          <w:color w:val="000000"/>
          <w:sz w:val="21"/>
        </w:rPr>
        <w:t xml:space="preserve"> (Notice ARC 5463C,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5869C</w:t>
      </w:r>
      <w:r>
        <w:rPr>
          <w:rFonts w:ascii="Times New Roman" w:hAnsi="Times New Roman"/>
          <w:b w:val="false"/>
          <w:i w:val="false"/>
          <w:color w:val="000000"/>
          <w:sz w:val="21"/>
        </w:rPr>
        <w:t xml:space="preserve"> (Notice ARC 5745C, IAB 6/30/21)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6332C</w:t>
      </w:r>
      <w:r>
        <w:rPr>
          <w:rFonts w:ascii="Times New Roman" w:hAnsi="Times New Roman"/>
          <w:b w:val="false"/>
          <w:i w:val="false"/>
          <w:color w:val="000000"/>
          <w:sz w:val="21"/>
        </w:rPr>
        <w:t xml:space="preserve"> (Notice ARC 6184C, IAB 2/9/22)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Emergency ARC 6483C, IAB 8/24/22, effective 8/5/22]</w:t>
      </w:r>
    </w:p>
    <w:p>
      <w:pPr>
        <w:spacing w:before="0" w:after="0"/>
        <w:ind w:left="120"/>
        <w:jc w:val="center"/>
      </w:pPr>
      <w:r>
        <w:rPr>
          <w:rFonts w:ascii="Times New Roman" w:hAnsi="Times New Roman"/>
          <w:b w:val="false"/>
          <w:i w:val="false"/>
          <w:color w:val="000000"/>
          <w:sz w:val="21"/>
        </w:rPr>
        <w:t>[Filed ARC 6726C</w:t>
      </w:r>
      <w:r>
        <w:rPr>
          <w:rFonts w:ascii="Times New Roman" w:hAnsi="Times New Roman"/>
          <w:b w:val="false"/>
          <w:i w:val="false"/>
          <w:color w:val="000000"/>
          <w:sz w:val="21"/>
        </w:rPr>
        <w:t xml:space="preserve"> (Notice ARC 6482C,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7786C</w:t>
      </w:r>
      <w:r>
        <w:rPr>
          <w:rFonts w:ascii="Times New Roman" w:hAnsi="Times New Roman"/>
          <w:b w:val="false"/>
          <w:i w:val="false"/>
          <w:color w:val="000000"/>
          <w:sz w:val="21"/>
        </w:rPr>
        <w:t xml:space="preserve"> (Notice ARC 7602C,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10/16/24]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82.pdf" Type="http://schemas.openxmlformats.org/officeDocument/2006/relationships/hyperlink" Id="rId4"/>
    <Relationship TargetMode="External" Target="https://www.legis.iowa.gov/docs/ico/chapter/282.pdf" Type="http://schemas.openxmlformats.org/officeDocument/2006/relationships/hyperlink" Id="rId5"/>
    <Relationship TargetMode="External" Target="https://www.legis.iowa.gov/docs/ico/chapter/282.pdf" Type="http://schemas.openxmlformats.org/officeDocument/2006/relationships/hyperlink" Id="rId6"/>
    <Relationship TargetMode="External" Target="https://www.legis.iowa.gov/docs/iac/rule/281.17.2.pdf" Type="http://schemas.openxmlformats.org/officeDocument/2006/relationships/hyperlink" Id="rId7"/>
    <Relationship TargetMode="External" Target="https://www.legis.iowa.gov/docs/iac/rule/281.17.3.pdf" Type="http://schemas.openxmlformats.org/officeDocument/2006/relationships/hyperlink" Id="rId8"/>
    <Relationship TargetMode="External" Target="https://www.legis.iowa.gov/docs/ico/chapter/282.pdf" Type="http://schemas.openxmlformats.org/officeDocument/2006/relationships/hyperlink" Id="rId9"/>
    <Relationship TargetMode="External" Target="https://www.legis.iowa.gov/docs/iac/rule/281.17.10.pdf" Type="http://schemas.openxmlformats.org/officeDocument/2006/relationships/hyperlink" Id="rId10"/>
    <Relationship TargetMode="External" Target="https://www.legis.iowa.gov/docs/ico/chapter/256B.pdf" Type="http://schemas.openxmlformats.org/officeDocument/2006/relationships/hyperlink" Id="rId11"/>
    <Relationship TargetMode="External" Target="https://www.legis.iowa.gov/docs/ico/chapter/282.pdf" Type="http://schemas.openxmlformats.org/officeDocument/2006/relationships/hyperlink" Id="rId12"/>
    <Relationship TargetMode="External" Target="https://www.legis.iowa.gov/docs/ico/chapter/282.pdf" Type="http://schemas.openxmlformats.org/officeDocument/2006/relationships/hyperlink" Id="rId13"/>
    <Relationship TargetMode="External" Target="https://www.legis.iowa.gov/docs/ico/chapter/257.pdf" Type="http://schemas.openxmlformats.org/officeDocument/2006/relationships/hyperlink" Id="rId14"/>
    <Relationship TargetMode="External" Target="https://www.legis.iowa.gov/docs/iac/rule/281.17.11.pdf" Type="http://schemas.openxmlformats.org/officeDocument/2006/relationships/hyperlink" Id="rId15"/>
    <Relationship TargetMode="External" Target="https://www.legis.iowa.gov/docs/ico/chapter/282.pdf" Type="http://schemas.openxmlformats.org/officeDocument/2006/relationships/hyperlink" Id="rId16"/>
    <Relationship TargetMode="External" Target="https://www.legis.iowa.gov/docs/ico/chapter/256.pdf" Type="http://schemas.openxmlformats.org/officeDocument/2006/relationships/hyperlink" Id="rId17"/>
    <Relationship TargetMode="External" Target="https://www.legis.iowa.gov/docs/ico/chapter/282.pdf" Type="http://schemas.openxmlformats.org/officeDocument/2006/relationships/hyperlink" Id="rId18"/>
    <Relationship TargetMode="External" Target="https://www.legis.iowa.gov/docs/ico/chapter/282.pdf" Type="http://schemas.openxmlformats.org/officeDocument/2006/relationships/hyperlink" Id="rId19"/>
    <Relationship TargetMode="External" Target="https://www.legis.iowa.gov/docs/iac/rule/281.41.408.pdf" Type="http://schemas.openxmlformats.org/officeDocument/2006/relationships/hyperlink" Id="rId20"/>
    <Relationship TargetMode="External" Target="https://www.legis.iowa.gov/docs/ico/chapter/279.pdf" Type="http://schemas.openxmlformats.org/officeDocument/2006/relationships/hyperlink" Id="rId21"/>
    <Relationship TargetMode="External" Target="https://www.legis.iowa.gov/docs/iac/rule/281.17.2.pdf" Type="http://schemas.openxmlformats.org/officeDocument/2006/relationships/hyperlink" Id="rId22"/>
    <Relationship TargetMode="External" Target="https://www.legis.iowa.gov/docs/ico/chapter/282.pdf" Type="http://schemas.openxmlformats.org/officeDocument/2006/relationships/hyperlink" Id="rId23"/>
    <Relationship TargetMode="External" Target="https://www.legis.iowa.gov/docs/ico/chapter/282.pdf" Type="http://schemas.openxmlformats.org/officeDocument/2006/relationships/hyperlink" Id="rId24"/>
    <Relationship TargetMode="External" Target="https://www.legis.iowa.gov/docs/iac/rule/281.17.7.pdf" Type="http://schemas.openxmlformats.org/officeDocument/2006/relationships/hyperlink" Id="rId25"/>
    <Relationship TargetMode="External" Target="https://www.legis.iowa.gov/docs/iac/rule/281.17.6.pdf" Type="http://schemas.openxmlformats.org/officeDocument/2006/relationships/hyperlink" Id="rId26"/>
    <Relationship TargetMode="External" Target="https://www.legis.iowa.gov/docs/iac/rule/281.17.6.pdf" Type="http://schemas.openxmlformats.org/officeDocument/2006/relationships/hyperlink" Id="rId27"/>
    <Relationship TargetMode="External" Target="https://www.legis.iowa.gov/docs/ico/chapter/257.pdf" Type="http://schemas.openxmlformats.org/officeDocument/2006/relationships/hyperlink" Id="rId28"/>
    <Relationship TargetMode="External" Target="https://www.legis.iowa.gov/docs/iac/rule/281.17.2.pdf" Type="http://schemas.openxmlformats.org/officeDocument/2006/relationships/hyperlink" Id="rId29"/>
    <Relationship TargetMode="External" Target="https://www.legis.iowa.gov/docs/iac/rule/281.17.8.pdf" Type="http://schemas.openxmlformats.org/officeDocument/2006/relationships/hyperlink" Id="rId30"/>
    <Relationship TargetMode="External" Target="https://www.legis.iowa.gov/docs/ico/chapter/282.pdf" Type="http://schemas.openxmlformats.org/officeDocument/2006/relationships/hyperlink" Id="rId31"/>
    <Relationship TargetMode="External" Target="https://www.legis.iowa.gov/docs/ico/chapter/285.pdf" Type="http://schemas.openxmlformats.org/officeDocument/2006/relationships/hyperlink" Id="rId32"/>
    <Relationship TargetMode="External" Target="https://www.legis.iowa.gov/docs/ico/chapter/282.pdf" Type="http://schemas.openxmlformats.org/officeDocument/2006/relationships/hyperlink" Id="rId33"/>
    <Relationship TargetMode="External" Target="https://www.legis.iowa.gov/docs/ico/chapter/282.pdf" Type="http://schemas.openxmlformats.org/officeDocument/2006/relationships/hyperlink" Id="rId34"/>
    <Relationship TargetMode="External" Target="https://www.legis.iowa.gov/docs/ico/chapter/261E.pdf" Type="http://schemas.openxmlformats.org/officeDocument/2006/relationships/hyperlink" Id="rId35"/>
    <Relationship TargetMode="External" Target="https://www.legis.iowa.gov/docs/ico/chapter/261E.pdf" Type="http://schemas.openxmlformats.org/officeDocument/2006/relationships/hyperlink" Id="rId36"/>
    <Relationship TargetMode="External" Target="https://www.legis.iowa.gov/docs/ico/chapter/280.pdf" Type="http://schemas.openxmlformats.org/officeDocument/2006/relationships/hyperlink" Id="rId37"/>
    <Relationship TargetMode="External" Target="https://www.legis.iowa.gov/docs/ico/chapter/257.pdf" Type="http://schemas.openxmlformats.org/officeDocument/2006/relationships/hyperlink" Id="rId38"/>
    <Relationship TargetMode="External" Target="https://www.legis.iowa.gov/docs/ico/chapter/257.pdf" Type="http://schemas.openxmlformats.org/officeDocument/2006/relationships/hyperlink" Id="rId39"/>
    <Relationship TargetMode="External" Target="https://www.legis.iowa.gov/docs/ico/chapter/280.pdf" Type="http://schemas.openxmlformats.org/officeDocument/2006/relationships/hyperlink" Id="rId40"/>
    <Relationship TargetMode="External" Target="https://www.legis.iowa.gov/docs/iac/rule/281.17.8.pdf" Type="http://schemas.openxmlformats.org/officeDocument/2006/relationships/hyperlink" Id="rId41"/>
    <Relationship TargetMode="External" Target="https://www.legis.iowa.gov/docs/ico/chapter/282.pdf" Type="http://schemas.openxmlformats.org/officeDocument/2006/relationships/hyperlink" Id="rId42"/>
    <Relationship TargetMode="External" Target="https://www.legis.iowa.gov/docs/iac/rule/281.17.10.pdf" Type="http://schemas.openxmlformats.org/officeDocument/2006/relationships/hyperlink" Id="rId43"/>
    <Relationship TargetMode="External" Target="https://www.legis.iowa.gov/docs/iac/chapter/281.97.pdf" Type="http://schemas.openxmlformats.org/officeDocument/2006/relationships/hyperlink" Id="rId44"/>
    <Relationship TargetMode="External" Target="https://www.legis.iowa.gov/docs/iac/chapter/281.97.pdf" Type="http://schemas.openxmlformats.org/officeDocument/2006/relationships/hyperlink" Id="rId45"/>
    <Relationship TargetMode="External" Target="https://www.legis.iowa.gov/docs/ico/chapter/256B.pdf" Type="http://schemas.openxmlformats.org/officeDocument/2006/relationships/hyperlink" Id="rId46"/>
    <Relationship TargetMode="External" Target="https://www.legis.iowa.gov/docs/iac/chapter/281.41.pdf" Type="http://schemas.openxmlformats.org/officeDocument/2006/relationships/hyperlink" Id="rId47"/>
    <Relationship TargetMode="External" Target="https://www.legis.iowa.gov/docs/iac/chapter/281.41.pdf" Type="http://schemas.openxmlformats.org/officeDocument/2006/relationships/hyperlink" Id="rId48"/>
    <Relationship TargetMode="External" Target="https://www.legis.iowa.gov/docs/iac/chapter/281.41.pdf" Type="http://schemas.openxmlformats.org/officeDocument/2006/relationships/hyperlink" Id="rId49"/>
    <Relationship TargetMode="External" Target="https://www.legis.iowa.gov/docs/iac/chapter/281.41.pdf" Type="http://schemas.openxmlformats.org/officeDocument/2006/relationships/hyperlink" Id="rId50"/>
    <Relationship TargetMode="External" Target="https://www.legis.iowa.gov/docs/iac/rule/281.17.6.pdf" Type="http://schemas.openxmlformats.org/officeDocument/2006/relationships/hyperlink" Id="rId51"/>
    <Relationship TargetMode="External" Target="https://www.legis.iowa.gov/docs/iac/rule/281.17.6.pdf" Type="http://schemas.openxmlformats.org/officeDocument/2006/relationships/hyperlink" Id="rId52"/>
    <Relationship TargetMode="External" Target="https://www.legis.iowa.gov/docs/iac/rule/281.17.6.pdf" Type="http://schemas.openxmlformats.org/officeDocument/2006/relationships/hyperlink" Id="rId53"/>
    <Relationship TargetMode="External" Target="https://www.legis.iowa.gov/docs/iac/rule/281.17.8.pdf" Type="http://schemas.openxmlformats.org/officeDocument/2006/relationships/hyperlink" Id="rId54"/>
    <Relationship TargetMode="External" Target="https://www.legis.iowa.gov/docs/iac/rule/281.41.412.pdf" Type="http://schemas.openxmlformats.org/officeDocument/2006/relationships/hyperlink" Id="rId55"/>
    <Relationship TargetMode="External" Target="https://www.legis.iowa.gov/docs/ico/chapter/257.pdf" Type="http://schemas.openxmlformats.org/officeDocument/2006/relationships/hyperlink" Id="rId56"/>
    <Relationship TargetMode="External" Target="https://www.legis.iowa.gov/docs/ico/chapter/282.pdf" Type="http://schemas.openxmlformats.org/officeDocument/2006/relationships/hyperlink" Id="rId57"/>
    <Relationship TargetMode="External" Target="https://www.legis.iowa.gov/docs/ico/chapter/282.pdf" Type="http://schemas.openxmlformats.org/officeDocument/2006/relationships/hyperlink" Id="rId58"/>
    <Relationship TargetMode="External" Target="https://www.legis.iowa.gov/docs/ico/chapter/279.pdf" Type="http://schemas.openxmlformats.org/officeDocument/2006/relationships/hyperlink" Id="rId59"/>
    <Relationship TargetMode="External" Target="https://www.legis.iowa.gov/docs/ico/chapter/279.pdf" Type="http://schemas.openxmlformats.org/officeDocument/2006/relationships/hyperlink" Id="rId60"/>
    <Relationship TargetMode="External" Target="https://www.legis.iowa.gov/docs/ico/chapter/280.pdf" Type="http://schemas.openxmlformats.org/officeDocument/2006/relationships/hyperlink" Id="rId61"/>
    <Relationship TargetMode="External" Target="https://www.legis.iowa.gov/docs/iac/rule/281.17.6.pdf" Type="http://schemas.openxmlformats.org/officeDocument/2006/relationships/hyperlink" Id="rId62"/>
    <Relationship TargetMode="External" Target="https://www.legis.iowa.gov/docs/iac/rule/281.17.10.pdf" Type="http://schemas.openxmlformats.org/officeDocument/2006/relationships/hyperlink" Id="rId63"/>
    <Relationship TargetMode="External" Target="https://www.legis.iowa.gov/docs/ico/chapter/279.pdf" Type="http://schemas.openxmlformats.org/officeDocument/2006/relationships/hyperlink" Id="rId64"/>
    <Relationship TargetMode="External" Target="https://www.legis.iowa.gov/docs/ico/chapter/702.pdf" Type="http://schemas.openxmlformats.org/officeDocument/2006/relationships/hyperlink" Id="rId65"/>
    <Relationship TargetMode="External" Target="https://www.legis.iowa.gov/docs/ico/chapter/708.pdf" Type="http://schemas.openxmlformats.org/officeDocument/2006/relationships/hyperlink" Id="rId66"/>
    <Relationship TargetMode="External" Target="https://www.legis.iowa.gov/docs/ico/chapter/709.pdf" Type="http://schemas.openxmlformats.org/officeDocument/2006/relationships/hyperlink" Id="rId67"/>
    <Relationship TargetMode="External" Target="https://www.legis.iowa.gov/docs/ico/chapter/709.pdf" Type="http://schemas.openxmlformats.org/officeDocument/2006/relationships/hyperlink" Id="rId68"/>
    <Relationship TargetMode="External" Target="https://www.legis.iowa.gov/docs/iac/rule/281.17.13.pdf" Type="http://schemas.openxmlformats.org/officeDocument/2006/relationships/hyperlink" Id="rId69"/>
    <Relationship TargetMode="External" Target="https://www.legis.iowa.gov/docs/ico/chapter/708.pdf" Type="http://schemas.openxmlformats.org/officeDocument/2006/relationships/hyperlink" Id="rId70"/>
    <Relationship TargetMode="External" Target="https://www.legis.iowa.gov/docs/ico/chapter/709.pdf" Type="http://schemas.openxmlformats.org/officeDocument/2006/relationships/hyperlink" Id="rId71"/>
    <Relationship TargetMode="External" Target="https://www.legis.iowa.gov/docs/ico/chapter/711.pdf" Type="http://schemas.openxmlformats.org/officeDocument/2006/relationships/hyperlink" Id="rId72"/>
    <Relationship TargetMode="External" Target="https://www.legis.iowa.gov/docs/ico/chapter/712.pdf" Type="http://schemas.openxmlformats.org/officeDocument/2006/relationships/hyperlink" Id="rId73"/>
    <Relationship TargetMode="External" Target="https://www.legis.iowa.gov/docs/ico/chapter/723A.pdf" Type="http://schemas.openxmlformats.org/officeDocument/2006/relationships/hyperlink" Id="rId74"/>
    <Relationship TargetMode="External" Target="https://www.legis.iowa.gov/docs/ico/chapter/724.pdf" Type="http://schemas.openxmlformats.org/officeDocument/2006/relationships/hyperlink" Id="rId75"/>
    <Relationship TargetMode="External" Target="https://www.legis.iowa.gov/docs/ico/chapter/724.pdf" Type="http://schemas.openxmlformats.org/officeDocument/2006/relationships/hyperlink" Id="rId76"/>
    <Relationship TargetMode="External" Target="https://www.legis.iowa.gov/docs/iac/rule/281.17.15.pdf" Type="http://schemas.openxmlformats.org/officeDocument/2006/relationships/hyperlink" Id="rId77"/>
    <Relationship TargetMode="External" Target="https://www.legis.iowa.gov/docs/iac/rule/281.17.14.pdf" Type="http://schemas.openxmlformats.org/officeDocument/2006/relationships/hyperlink" Id="rId78"/>
    <Relationship TargetMode="External" Target="https://www.legis.iowa.gov/docs/iac/rule/281.17.14.pdf" Type="http://schemas.openxmlformats.org/officeDocument/2006/relationships/hyperlink" Id="rId79"/>
    <Relationship TargetMode="External" Target="https://www.legis.iowa.gov/docs/iac/rule/281.17.14.pdf" Type="http://schemas.openxmlformats.org/officeDocument/2006/relationships/hyperlink" Id="rId80"/>
    <Relationship TargetMode="External" Target="https://www.legis.iowa.gov/docs/iac/rule/281.17.14.pdf" Type="http://schemas.openxmlformats.org/officeDocument/2006/relationships/hyperlink" Id="rId81"/>
    <Relationship TargetMode="External" Target="https://www.legis.iowa.gov/docs/iac/rule/281.17.13.pdf" Type="http://schemas.openxmlformats.org/officeDocument/2006/relationships/hyperlink" Id="rId82"/>
    <Relationship TargetMode="External" Target="https://www.legis.iowa.gov/docs/ico/chapter/708.pdf" Type="http://schemas.openxmlformats.org/officeDocument/2006/relationships/hyperlink" Id="rId83"/>
    <Relationship TargetMode="External" Target="https://www.legis.iowa.gov/docs/ico/chapter/709.pdf" Type="http://schemas.openxmlformats.org/officeDocument/2006/relationships/hyperlink" Id="rId84"/>
    <Relationship TargetMode="External" Target="https://www.legis.iowa.gov/docs/ico/chapter/711.pdf" Type="http://schemas.openxmlformats.org/officeDocument/2006/relationships/hyperlink" Id="rId8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